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95531" w14:textId="10FC50D9" w:rsidR="00871D14" w:rsidRPr="00181934" w:rsidRDefault="008A4C7F" w:rsidP="00531F71">
      <w:pPr>
        <w:tabs>
          <w:tab w:val="right" w:pos="10000"/>
        </w:tabs>
        <w:spacing w:after="0"/>
        <w:rPr>
          <w:rFonts w:ascii="Arial" w:hAnsi="Arial" w:cs="Arial"/>
          <w:b/>
          <w:sz w:val="24"/>
          <w:lang w:val="en-US" w:eastAsia="zh-CN"/>
        </w:rPr>
      </w:pPr>
      <w:r w:rsidRPr="008A4C7F">
        <w:rPr>
          <w:rFonts w:ascii="Arial" w:hAnsi="Arial" w:cs="Arial"/>
          <w:b/>
          <w:sz w:val="24"/>
          <w:lang w:val="en-US"/>
        </w:rPr>
        <w:t>3GPP TSG RAN WG1 Meeting #84</w:t>
      </w:r>
      <w:r w:rsidR="00871D14" w:rsidRPr="00181934">
        <w:rPr>
          <w:rFonts w:ascii="Arial" w:hAnsi="Arial" w:cs="Arial"/>
          <w:b/>
          <w:sz w:val="24"/>
          <w:lang w:val="en-US"/>
        </w:rPr>
        <w:tab/>
      </w:r>
      <w:r w:rsidR="009739F8" w:rsidRPr="00181934">
        <w:rPr>
          <w:rFonts w:ascii="Arial" w:hAnsi="Arial" w:cs="Arial"/>
          <w:b/>
          <w:sz w:val="24"/>
          <w:lang w:val="en-US"/>
        </w:rPr>
        <w:t>R</w:t>
      </w:r>
      <w:r w:rsidR="00EA6506" w:rsidRPr="00181934">
        <w:rPr>
          <w:rFonts w:ascii="Arial" w:hAnsi="Arial" w:cs="Arial"/>
          <w:b/>
          <w:sz w:val="24"/>
          <w:lang w:val="en-US"/>
        </w:rPr>
        <w:t>1</w:t>
      </w:r>
      <w:r w:rsidR="007A3BF2" w:rsidRPr="00181934">
        <w:rPr>
          <w:rFonts w:ascii="Arial" w:hAnsi="Arial" w:cs="Arial"/>
          <w:b/>
          <w:sz w:val="24"/>
          <w:lang w:val="en-US"/>
        </w:rPr>
        <w:t>-</w:t>
      </w:r>
      <w:r w:rsidR="005E4FBD" w:rsidRPr="00181934">
        <w:rPr>
          <w:rFonts w:ascii="Arial" w:hAnsi="Arial" w:cs="Arial"/>
          <w:b/>
          <w:sz w:val="24"/>
          <w:lang w:val="en-US"/>
        </w:rPr>
        <w:t>1</w:t>
      </w:r>
      <w:r w:rsidR="00181934" w:rsidRPr="00181934">
        <w:rPr>
          <w:rFonts w:ascii="Arial" w:hAnsi="Arial" w:cs="Arial"/>
          <w:b/>
          <w:sz w:val="24"/>
          <w:lang w:val="en-US"/>
        </w:rPr>
        <w:t>6</w:t>
      </w:r>
      <w:r>
        <w:rPr>
          <w:rFonts w:ascii="Arial" w:hAnsi="Arial" w:cs="Arial"/>
          <w:b/>
          <w:sz w:val="24"/>
          <w:lang w:val="en-US"/>
        </w:rPr>
        <w:t>0408</w:t>
      </w:r>
    </w:p>
    <w:p w14:paraId="2D7A80A8" w14:textId="77777777" w:rsidR="008A4C7F" w:rsidRPr="00443753" w:rsidRDefault="008A4C7F" w:rsidP="008A4C7F">
      <w:pPr>
        <w:pStyle w:val="Header"/>
        <w:rPr>
          <w:rFonts w:cs="Arial"/>
          <w:noProof w:val="0"/>
          <w:sz w:val="24"/>
        </w:rPr>
      </w:pPr>
      <w:r w:rsidRPr="004E54B8">
        <w:rPr>
          <w:rFonts w:cs="Arial"/>
          <w:noProof w:val="0"/>
          <w:sz w:val="24"/>
        </w:rPr>
        <w:t>St Julian’s, Malta, 15th - 19th February 2016</w:t>
      </w:r>
    </w:p>
    <w:p w14:paraId="54BF7711" w14:textId="77777777" w:rsidR="0001729B" w:rsidRPr="00181934" w:rsidRDefault="0001729B" w:rsidP="00480B03">
      <w:pPr>
        <w:pStyle w:val="Footer"/>
        <w:jc w:val="both"/>
        <w:rPr>
          <w:rFonts w:cs="Arial"/>
          <w:lang w:eastAsia="zh-CN"/>
        </w:rPr>
      </w:pPr>
    </w:p>
    <w:p w14:paraId="50479D31" w14:textId="77777777" w:rsidR="00EA6506" w:rsidRPr="00181934" w:rsidRDefault="00EA6506" w:rsidP="00EA6506">
      <w:pPr>
        <w:tabs>
          <w:tab w:val="left" w:pos="1985"/>
        </w:tabs>
        <w:spacing w:after="0"/>
        <w:jc w:val="both"/>
        <w:rPr>
          <w:rFonts w:ascii="Arial" w:hAnsi="Arial" w:cs="Arial"/>
          <w:sz w:val="24"/>
          <w:lang w:val="en-US"/>
        </w:rPr>
      </w:pPr>
      <w:r w:rsidRPr="00181934">
        <w:rPr>
          <w:rFonts w:ascii="Arial" w:hAnsi="Arial" w:cs="Arial"/>
          <w:b/>
          <w:sz w:val="24"/>
          <w:lang w:val="en-US"/>
        </w:rPr>
        <w:t xml:space="preserve">Source: </w:t>
      </w:r>
      <w:r w:rsidRPr="00181934">
        <w:rPr>
          <w:rFonts w:ascii="Arial" w:hAnsi="Arial" w:cs="Arial"/>
          <w:b/>
          <w:sz w:val="24"/>
          <w:lang w:val="en-US"/>
        </w:rPr>
        <w:tab/>
      </w:r>
      <w:r w:rsidRPr="00181934">
        <w:rPr>
          <w:rFonts w:ascii="Arial" w:hAnsi="Arial" w:cs="Arial"/>
          <w:b/>
          <w:sz w:val="24"/>
        </w:rPr>
        <w:t>Intel Corporation</w:t>
      </w:r>
      <w:r w:rsidRPr="00181934">
        <w:rPr>
          <w:rFonts w:ascii="Arial" w:hAnsi="Arial" w:cs="Arial"/>
          <w:b/>
          <w:sz w:val="24"/>
          <w:lang w:val="en-US"/>
        </w:rPr>
        <w:t xml:space="preserve"> </w:t>
      </w:r>
    </w:p>
    <w:p w14:paraId="66664EB8" w14:textId="1B5CB289" w:rsidR="00425767" w:rsidRDefault="00E004D1" w:rsidP="00425767">
      <w:pPr>
        <w:spacing w:after="0"/>
        <w:ind w:left="1983" w:hangingChars="823" w:hanging="1983"/>
        <w:jc w:val="both"/>
        <w:rPr>
          <w:rFonts w:ascii="Arial" w:hAnsi="Arial" w:cs="Arial"/>
          <w:b/>
          <w:sz w:val="24"/>
          <w:lang w:val="en-US" w:eastAsia="zh-CN"/>
        </w:rPr>
      </w:pPr>
      <w:r w:rsidRPr="00181934">
        <w:rPr>
          <w:rFonts w:ascii="Arial" w:hAnsi="Arial" w:cs="Arial"/>
          <w:b/>
          <w:sz w:val="24"/>
          <w:lang w:val="en-US"/>
        </w:rPr>
        <w:t>Title:</w:t>
      </w:r>
      <w:r w:rsidR="00EB6440" w:rsidRPr="00181934">
        <w:rPr>
          <w:rFonts w:ascii="Arial" w:hAnsi="Arial" w:cs="Arial"/>
          <w:b/>
          <w:sz w:val="24"/>
          <w:lang w:val="en-US"/>
        </w:rPr>
        <w:t xml:space="preserve">  </w:t>
      </w:r>
      <w:r w:rsidR="00EB6440" w:rsidRPr="00181934">
        <w:rPr>
          <w:b/>
          <w:sz w:val="24"/>
          <w:lang w:val="en-US"/>
        </w:rPr>
        <w:t xml:space="preserve">                   </w:t>
      </w:r>
      <w:r w:rsidR="00E773D4" w:rsidRPr="00181934">
        <w:rPr>
          <w:rFonts w:ascii="Arial" w:hAnsi="Arial" w:cs="Arial"/>
          <w:b/>
          <w:sz w:val="24"/>
          <w:lang w:val="en-US"/>
        </w:rPr>
        <w:tab/>
      </w:r>
      <w:r w:rsidR="007D486D">
        <w:rPr>
          <w:rFonts w:ascii="Arial" w:hAnsi="Arial" w:cs="Arial"/>
          <w:b/>
          <w:sz w:val="24"/>
          <w:lang w:val="en-US"/>
        </w:rPr>
        <w:t>O</w:t>
      </w:r>
      <w:r w:rsidR="007D486D" w:rsidRPr="007D486D">
        <w:rPr>
          <w:rFonts w:ascii="Arial" w:hAnsi="Arial" w:cs="Arial"/>
          <w:b/>
          <w:sz w:val="24"/>
          <w:lang w:val="en-US"/>
        </w:rPr>
        <w:t xml:space="preserve">peration </w:t>
      </w:r>
      <w:r w:rsidR="007D486D">
        <w:rPr>
          <w:rFonts w:ascii="Arial" w:hAnsi="Arial" w:cs="Arial"/>
          <w:b/>
          <w:sz w:val="24"/>
          <w:lang w:val="en-US"/>
        </w:rPr>
        <w:t xml:space="preserve">mode </w:t>
      </w:r>
      <w:r w:rsidR="007D486D" w:rsidRPr="007D486D">
        <w:rPr>
          <w:rFonts w:ascii="Arial" w:hAnsi="Arial" w:cs="Arial"/>
          <w:b/>
          <w:sz w:val="24"/>
          <w:lang w:val="en-US"/>
        </w:rPr>
        <w:t>indication and channel raster for NB-IoT</w:t>
      </w:r>
    </w:p>
    <w:p w14:paraId="7DE6D496" w14:textId="08B5BCCB" w:rsidR="00C10599" w:rsidRPr="00181934" w:rsidRDefault="0068226B" w:rsidP="00425767">
      <w:pPr>
        <w:spacing w:after="0"/>
        <w:ind w:left="1983" w:hangingChars="823" w:hanging="1983"/>
        <w:jc w:val="both"/>
        <w:rPr>
          <w:rFonts w:ascii="Arial" w:hAnsi="Arial" w:cs="Arial"/>
          <w:sz w:val="24"/>
          <w:lang w:val="en-US" w:eastAsia="zh-CN"/>
        </w:rPr>
      </w:pPr>
      <w:r w:rsidRPr="00181934">
        <w:rPr>
          <w:rFonts w:ascii="Arial" w:hAnsi="Arial" w:cs="Arial"/>
          <w:b/>
          <w:sz w:val="24"/>
          <w:lang w:val="en-US"/>
        </w:rPr>
        <w:t>Agenda item:</w:t>
      </w:r>
      <w:r w:rsidR="00E773D4" w:rsidRPr="00181934">
        <w:rPr>
          <w:rFonts w:ascii="Arial" w:hAnsi="Arial" w:cs="Arial"/>
          <w:b/>
          <w:sz w:val="24"/>
          <w:lang w:val="en-US"/>
        </w:rPr>
        <w:tab/>
      </w:r>
      <w:bookmarkStart w:id="0" w:name="Source"/>
      <w:bookmarkEnd w:id="0"/>
      <w:r w:rsidR="008A4C7F">
        <w:rPr>
          <w:rFonts w:ascii="Arial" w:hAnsi="Arial" w:cs="Arial"/>
          <w:b/>
          <w:sz w:val="24"/>
          <w:lang w:val="en-US"/>
        </w:rPr>
        <w:t>7.2</w:t>
      </w:r>
      <w:r w:rsidR="00425767">
        <w:rPr>
          <w:rFonts w:ascii="Arial" w:hAnsi="Arial" w:cs="Arial"/>
          <w:b/>
          <w:sz w:val="24"/>
          <w:lang w:val="en-US"/>
        </w:rPr>
        <w:t>.1.</w:t>
      </w:r>
      <w:r w:rsidR="006D5373">
        <w:rPr>
          <w:rFonts w:ascii="Arial" w:hAnsi="Arial" w:cs="Arial"/>
          <w:b/>
          <w:sz w:val="24"/>
          <w:lang w:val="en-US"/>
        </w:rPr>
        <w:t>1</w:t>
      </w:r>
    </w:p>
    <w:p w14:paraId="1B768657" w14:textId="77777777" w:rsidR="0068226B" w:rsidRPr="00181934" w:rsidRDefault="0068226B" w:rsidP="00EA6506">
      <w:pPr>
        <w:spacing w:after="0"/>
        <w:ind w:left="1988" w:hanging="1988"/>
        <w:jc w:val="both"/>
        <w:rPr>
          <w:rFonts w:ascii="Arial" w:hAnsi="Arial" w:cs="Arial"/>
          <w:sz w:val="24"/>
          <w:lang w:val="en-US"/>
        </w:rPr>
      </w:pPr>
      <w:r w:rsidRPr="00181934">
        <w:rPr>
          <w:rFonts w:ascii="Arial" w:hAnsi="Arial" w:cs="Arial"/>
          <w:b/>
          <w:sz w:val="24"/>
          <w:lang w:val="en-US"/>
        </w:rPr>
        <w:t>Document for:</w:t>
      </w:r>
      <w:r w:rsidRPr="00181934">
        <w:rPr>
          <w:rFonts w:ascii="Arial" w:hAnsi="Arial" w:cs="Arial"/>
          <w:sz w:val="24"/>
          <w:lang w:val="en-US"/>
        </w:rPr>
        <w:tab/>
      </w:r>
      <w:bookmarkStart w:id="1" w:name="DocumentFor"/>
      <w:bookmarkEnd w:id="1"/>
      <w:r w:rsidR="00E004D1" w:rsidRPr="00181934">
        <w:rPr>
          <w:rFonts w:ascii="Arial" w:hAnsi="Arial" w:cs="Arial"/>
          <w:b/>
          <w:sz w:val="24"/>
          <w:lang w:val="en-US"/>
        </w:rPr>
        <w:t>Discussion and Decision</w:t>
      </w:r>
    </w:p>
    <w:p w14:paraId="2D0C7739" w14:textId="77777777" w:rsidR="00EA6506" w:rsidRPr="00181934" w:rsidRDefault="00EA6506" w:rsidP="00EA6506">
      <w:pPr>
        <w:spacing w:after="0"/>
        <w:ind w:left="2388" w:hangingChars="995" w:hanging="2388"/>
        <w:jc w:val="both"/>
        <w:rPr>
          <w:sz w:val="24"/>
          <w:lang w:val="en-US"/>
        </w:rPr>
      </w:pPr>
    </w:p>
    <w:p w14:paraId="52468159" w14:textId="77777777" w:rsidR="00C34C05" w:rsidRPr="00181934" w:rsidRDefault="004D0200" w:rsidP="00DD3401">
      <w:pPr>
        <w:pStyle w:val="Heading1"/>
        <w:spacing w:before="120" w:after="60"/>
        <w:ind w:left="1138" w:hanging="1138"/>
        <w:jc w:val="both"/>
        <w:rPr>
          <w:rFonts w:cs="Arial"/>
          <w:lang w:val="en-US" w:eastAsia="zh-CN"/>
        </w:rPr>
      </w:pPr>
      <w:r w:rsidRPr="00181934">
        <w:rPr>
          <w:rFonts w:cs="Arial"/>
          <w:lang w:val="en-US"/>
        </w:rPr>
        <w:t xml:space="preserve">1 </w:t>
      </w:r>
      <w:r w:rsidR="00FD6A3D" w:rsidRPr="00181934">
        <w:rPr>
          <w:rFonts w:cs="Arial"/>
          <w:lang w:val="en-US"/>
        </w:rPr>
        <w:t>Introduction</w:t>
      </w:r>
    </w:p>
    <w:p w14:paraId="554BC234" w14:textId="56253030" w:rsidR="005957BB" w:rsidRDefault="005957BB" w:rsidP="005957BB">
      <w:pPr>
        <w:pStyle w:val="BodyText"/>
        <w:rPr>
          <w:color w:val="000000"/>
        </w:rPr>
      </w:pPr>
      <w:r w:rsidRPr="0013097E">
        <w:t>At RAN#70, the narrow band IoT (NB-IoT) wor</w:t>
      </w:r>
      <w:r>
        <w:t xml:space="preserve">k item was revised and approved. Three different operation modes, i.e., standalone, guard-band, and in-band, are supported. </w:t>
      </w:r>
      <w:r w:rsidRPr="00C17AE6">
        <w:rPr>
          <w:color w:val="000000"/>
        </w:rPr>
        <w:t xml:space="preserve">The operation modes of NB-IoT systems can be either indicated during the initial cell search, i.e., by using NB-PSS and/or NB-SSS, or </w:t>
      </w:r>
      <w:r w:rsidR="00BA0EF2">
        <w:rPr>
          <w:color w:val="000000"/>
        </w:rPr>
        <w:t>by using certain bits, implicitly or explicitly</w:t>
      </w:r>
      <w:r w:rsidR="00335D2B">
        <w:rPr>
          <w:color w:val="000000"/>
        </w:rPr>
        <w:t>,</w:t>
      </w:r>
      <w:r w:rsidR="00BA0EF2">
        <w:rPr>
          <w:color w:val="000000"/>
        </w:rPr>
        <w:t xml:space="preserve"> in </w:t>
      </w:r>
      <w:r w:rsidR="00630A44">
        <w:rPr>
          <w:color w:val="000000"/>
        </w:rPr>
        <w:t xml:space="preserve">narrow band </w:t>
      </w:r>
      <w:r w:rsidRPr="00C17AE6">
        <w:rPr>
          <w:color w:val="000000"/>
        </w:rPr>
        <w:t>master information block (</w:t>
      </w:r>
      <w:r w:rsidR="00630A44">
        <w:rPr>
          <w:color w:val="000000"/>
        </w:rPr>
        <w:t>NB-</w:t>
      </w:r>
      <w:r w:rsidRPr="00C17AE6">
        <w:rPr>
          <w:color w:val="000000"/>
        </w:rPr>
        <w:t xml:space="preserve">MIB) carried by the </w:t>
      </w:r>
      <w:r w:rsidR="00630A44">
        <w:rPr>
          <w:color w:val="000000"/>
        </w:rPr>
        <w:t>NB-</w:t>
      </w:r>
      <w:r w:rsidRPr="00C17AE6">
        <w:rPr>
          <w:color w:val="000000"/>
        </w:rPr>
        <w:t xml:space="preserve">PBCH. </w:t>
      </w:r>
      <w:r w:rsidR="00AB64F3">
        <w:t xml:space="preserve">As discussed in [2], for the in-band and guard-band operation modes, </w:t>
      </w:r>
      <w:r w:rsidR="00AB64F3" w:rsidRPr="005B6A67">
        <w:t>there</w:t>
      </w:r>
      <w:r w:rsidR="00AB64F3">
        <w:t xml:space="preserve"> will always</w:t>
      </w:r>
      <w:r w:rsidR="00AB64F3" w:rsidRPr="005B6A67">
        <w:t xml:space="preserve"> be a misalignment between the center of the NB-IOT physical resource block (PRB) and the closest channel raster</w:t>
      </w:r>
      <w:r w:rsidR="00AB64F3">
        <w:t xml:space="preserve">. </w:t>
      </w:r>
      <w:r w:rsidR="008E0602">
        <w:t xml:space="preserve">This information also needs to be signaled to the UE. </w:t>
      </w:r>
      <w:r w:rsidRPr="00C17AE6">
        <w:rPr>
          <w:color w:val="000000"/>
        </w:rPr>
        <w:t xml:space="preserve">In this contribution, </w:t>
      </w:r>
      <w:r w:rsidR="00E33ACA">
        <w:rPr>
          <w:color w:val="000000"/>
        </w:rPr>
        <w:t>we present some options for indication of mode of operation</w:t>
      </w:r>
      <w:r w:rsidR="00F42180">
        <w:rPr>
          <w:color w:val="000000"/>
        </w:rPr>
        <w:t xml:space="preserve"> and discuss indication of channel raster to the UE</w:t>
      </w:r>
      <w:r w:rsidR="00E33ACA">
        <w:rPr>
          <w:color w:val="000000"/>
        </w:rPr>
        <w:t>.</w:t>
      </w:r>
    </w:p>
    <w:p w14:paraId="4D2FD3D6" w14:textId="1D1070DA" w:rsidR="001644BC" w:rsidRPr="005957BB" w:rsidRDefault="008872F7" w:rsidP="005957BB">
      <w:pPr>
        <w:pStyle w:val="Heading1"/>
        <w:numPr>
          <w:ilvl w:val="0"/>
          <w:numId w:val="3"/>
        </w:numPr>
        <w:rPr>
          <w:rFonts w:cs="Arial"/>
          <w:lang w:val="en-US"/>
        </w:rPr>
      </w:pPr>
      <w:r>
        <w:rPr>
          <w:rFonts w:cs="Arial"/>
          <w:lang w:val="en-US"/>
        </w:rPr>
        <w:t>Channel raster</w:t>
      </w:r>
    </w:p>
    <w:p w14:paraId="6134114D" w14:textId="17D1ABAB" w:rsidR="006E73C4" w:rsidRDefault="005957BB" w:rsidP="00EC0D1E">
      <w:pPr>
        <w:spacing w:after="200" w:line="276" w:lineRule="auto"/>
        <w:contextualSpacing/>
        <w:jc w:val="both"/>
      </w:pPr>
      <w:r w:rsidRPr="00CA1B74">
        <w:t>It was agreed in the ad-hoc meeting in January that 100kHz channel raster is assumed by UEs in all three operation modes (i.e. standalone, guard-band and in-band) [1].</w:t>
      </w:r>
      <w:r w:rsidR="00BA681B" w:rsidRPr="00CA1B74">
        <w:t xml:space="preserve"> It was also agreed that the NB-IoT NB-PSS/NB-SSS center frequency is aligned to 100</w:t>
      </w:r>
      <w:r w:rsidR="00663F93">
        <w:t xml:space="preserve"> </w:t>
      </w:r>
      <w:r w:rsidR="00BA681B" w:rsidRPr="00CA1B74">
        <w:t>kHz channel raster in standalone mode.</w:t>
      </w:r>
      <w:r w:rsidR="00BA681B">
        <w:t xml:space="preserve"> As discussed in [2], for the in-band and guard-band operation modes, </w:t>
      </w:r>
      <w:r w:rsidR="005B6A67" w:rsidRPr="005B6A67">
        <w:t>there</w:t>
      </w:r>
      <w:r w:rsidR="005B6A67">
        <w:t xml:space="preserve"> will always</w:t>
      </w:r>
      <w:r w:rsidR="005B6A67" w:rsidRPr="005B6A67">
        <w:t xml:space="preserve"> be a misalignment between the center of the NB-IOT physical resource block (PRB) and the closest channel raster</w:t>
      </w:r>
      <w:r w:rsidR="00BA681B">
        <w:t xml:space="preserve">. </w:t>
      </w:r>
      <w:r w:rsidR="005B6A67" w:rsidRPr="005B6A67">
        <w:t>Taking an in-band NB-IOT deployment as an example, when using the 100 kHz raster the absolute value of the offset for all PRB-center locations with respect to each raster location can be in the se</w:t>
      </w:r>
      <w:r w:rsidR="005B6A67">
        <w:t>t {2.5, 17.5, 22.5, 37.5, 42.5</w:t>
      </w:r>
      <w:r w:rsidR="005B6A67" w:rsidRPr="005B6A67">
        <w:t xml:space="preserve">} kHz for the even bandwidth configuration and within the set of {7.5, 12.5, 27.5, 32.5, </w:t>
      </w:r>
      <w:r w:rsidR="005B6A67">
        <w:t>47.5</w:t>
      </w:r>
      <w:r w:rsidR="005B6A67" w:rsidRPr="005B6A67">
        <w:t xml:space="preserve">} kHz for the odd bandwidth configuration. The raster frequency will be aligned with the LTE DC subcarrier, thus it can be seen that 0 kHz raster is not feasible for in-band operation. In other words, for in-band deployment, there </w:t>
      </w:r>
      <w:r w:rsidR="00D537FE">
        <w:t>will</w:t>
      </w:r>
      <w:r w:rsidR="005B6A67" w:rsidRPr="005B6A67">
        <w:t xml:space="preserve"> always be a non-zero raster frequency offset, which needs to be accounted for</w:t>
      </w:r>
      <w:r w:rsidR="005B6A67" w:rsidRPr="00CA1B74">
        <w:t xml:space="preserve">. </w:t>
      </w:r>
      <w:r w:rsidR="00486ED2" w:rsidRPr="00CA1B74">
        <w:t>During the cell search phase, the NB-IOT UE estimates the frequency offset using the NB-PSS transmission. However, this offset consists of both the local oscillator offset as well as the offset resulting from the channel raster.</w:t>
      </w:r>
      <w:r w:rsidR="00486ED2" w:rsidRPr="00486ED2">
        <w:t xml:space="preserve"> Thus, this information needs to be indicated to the NB-IoT user in order to figure out which ‘absolute’ frequency to camp on</w:t>
      </w:r>
      <w:r w:rsidR="006E73C4">
        <w:t xml:space="preserve">. </w:t>
      </w:r>
      <w:r w:rsidR="00C77580">
        <w:t xml:space="preserve">Also, mismatch between the channel raster and NB-IOT PRB center leads </w:t>
      </w:r>
      <w:r w:rsidR="00C77580" w:rsidRPr="00CA1B74">
        <w:t>to sampling frequency offsets (SFO).</w:t>
      </w:r>
      <w:r w:rsidR="00C77580">
        <w:t xml:space="preserve"> </w:t>
      </w:r>
      <w:r w:rsidR="00FA4B23">
        <w:t>This information is also required by the UE to figure out the absolute uplink carrier as per EARFCN.</w:t>
      </w:r>
    </w:p>
    <w:p w14:paraId="03228D7F" w14:textId="77777777" w:rsidR="006E73C4" w:rsidRDefault="006E73C4" w:rsidP="00EC0D1E">
      <w:pPr>
        <w:spacing w:after="200" w:line="276" w:lineRule="auto"/>
        <w:contextualSpacing/>
        <w:jc w:val="both"/>
      </w:pPr>
    </w:p>
    <w:p w14:paraId="47296879" w14:textId="6FC32CBA" w:rsidR="00EC344E" w:rsidRDefault="006E73C4" w:rsidP="00EC0D1E">
      <w:pPr>
        <w:spacing w:after="200" w:line="276" w:lineRule="auto"/>
        <w:contextualSpacing/>
        <w:jc w:val="both"/>
      </w:pPr>
      <w:r>
        <w:t xml:space="preserve">Additionally, these raster offsets lead to increase in cell search complexity since the UE now needs to account for higher frequency offsets. For example assuming a 20 ppm initial offset at 900 MHz, the local oscillator at the UE can have an offset of 18 kHz. Allowing for multiple raster offset points will lead to significantly high frequency offsets. Thus it is recommended to allow at most +/-2.5 kHz for </w:t>
      </w:r>
      <w:r w:rsidR="00D537FE">
        <w:t>even bandwidth configuration</w:t>
      </w:r>
      <w:r>
        <w:t xml:space="preserve"> and +/-7.5 kHz for </w:t>
      </w:r>
      <w:r w:rsidR="00D537FE">
        <w:t>odd bandwidth</w:t>
      </w:r>
      <w:r>
        <w:t xml:space="preserve"> </w:t>
      </w:r>
      <w:r w:rsidR="00B45B26">
        <w:t>configuration</w:t>
      </w:r>
      <w:r>
        <w:t xml:space="preserve">. </w:t>
      </w:r>
      <w:r w:rsidR="00B26ADD">
        <w:t>Thus, in addition to NB-IOT mode of operation (standalone, guard-band or in-band), the UE needs to be signalled information regarding the NB-IOT raster frequency offset.</w:t>
      </w:r>
    </w:p>
    <w:p w14:paraId="0132ECE0" w14:textId="77777777" w:rsidR="00AA6387" w:rsidRDefault="00AA6387" w:rsidP="00EC0D1E">
      <w:pPr>
        <w:spacing w:after="200" w:line="276" w:lineRule="auto"/>
        <w:contextualSpacing/>
        <w:jc w:val="both"/>
      </w:pPr>
    </w:p>
    <w:p w14:paraId="19B5F0BE" w14:textId="66C12291" w:rsidR="00AA6387" w:rsidRPr="000274C7" w:rsidRDefault="00AA6387" w:rsidP="00EC0D1E">
      <w:pPr>
        <w:spacing w:after="200" w:line="276" w:lineRule="auto"/>
        <w:contextualSpacing/>
        <w:jc w:val="both"/>
        <w:rPr>
          <w:b/>
          <w:i/>
          <w:u w:val="single"/>
        </w:rPr>
      </w:pPr>
      <w:r w:rsidRPr="000274C7">
        <w:rPr>
          <w:b/>
          <w:i/>
          <w:u w:val="single"/>
        </w:rPr>
        <w:t xml:space="preserve">Proposal 1: For minimizing device complexity resulting from cell search computations, it is recommended to </w:t>
      </w:r>
      <w:r w:rsidR="00904DCD" w:rsidRPr="000274C7">
        <w:rPr>
          <w:b/>
          <w:i/>
          <w:u w:val="single"/>
        </w:rPr>
        <w:t xml:space="preserve">only </w:t>
      </w:r>
      <w:r w:rsidRPr="000274C7">
        <w:rPr>
          <w:b/>
          <w:i/>
          <w:u w:val="single"/>
        </w:rPr>
        <w:t>use the PRBs whose centers are +/-2.5 kHz and +/-7.5 kHz away from the LTE channel raster points (100 kHz raster) for in-band deployment.</w:t>
      </w:r>
    </w:p>
    <w:p w14:paraId="748246E5" w14:textId="77777777" w:rsidR="00EC344E" w:rsidRPr="000274C7" w:rsidRDefault="00EC344E" w:rsidP="00EC0D1E">
      <w:pPr>
        <w:spacing w:after="200" w:line="276" w:lineRule="auto"/>
        <w:contextualSpacing/>
        <w:jc w:val="both"/>
        <w:rPr>
          <w:b/>
          <w:u w:val="single"/>
        </w:rPr>
      </w:pPr>
    </w:p>
    <w:p w14:paraId="186F157B" w14:textId="613C108F" w:rsidR="00EC344E" w:rsidRPr="000274C7" w:rsidRDefault="00EC344E" w:rsidP="00EC0D1E">
      <w:pPr>
        <w:spacing w:after="200" w:line="276" w:lineRule="auto"/>
        <w:contextualSpacing/>
        <w:jc w:val="both"/>
        <w:rPr>
          <w:b/>
          <w:i/>
          <w:u w:val="single"/>
        </w:rPr>
      </w:pPr>
      <w:r w:rsidRPr="000274C7">
        <w:rPr>
          <w:b/>
          <w:i/>
          <w:u w:val="single"/>
        </w:rPr>
        <w:t>Observation 1: The UE needs to be signalled the raster frequency offset from a small subset (0 kHz, +/-2.5 kHz, +/-7.kHz) for it to figure out the absolute frequency to camp on</w:t>
      </w:r>
      <w:r w:rsidR="00E33ACA" w:rsidRPr="000274C7">
        <w:rPr>
          <w:b/>
          <w:i/>
          <w:u w:val="single"/>
        </w:rPr>
        <w:t xml:space="preserve"> in addition to the mode of operation (i.e.,</w:t>
      </w:r>
      <w:r w:rsidR="00E33ACA" w:rsidRPr="000274C7">
        <w:rPr>
          <w:b/>
          <w:u w:val="single"/>
        </w:rPr>
        <w:t xml:space="preserve"> </w:t>
      </w:r>
      <w:r w:rsidR="00E33ACA" w:rsidRPr="000274C7">
        <w:rPr>
          <w:b/>
          <w:i/>
          <w:u w:val="single"/>
        </w:rPr>
        <w:t>standalone, guard-band or in-band)</w:t>
      </w:r>
    </w:p>
    <w:p w14:paraId="13356040" w14:textId="4805AD35" w:rsidR="00472252" w:rsidRPr="00A8047E" w:rsidRDefault="00472252" w:rsidP="00472252">
      <w:pPr>
        <w:pStyle w:val="ListParagraph"/>
        <w:jc w:val="both"/>
        <w:rPr>
          <w:rFonts w:ascii="Times New Roman" w:hAnsi="Times New Roman"/>
          <w:sz w:val="20"/>
          <w:lang w:val="x-none"/>
        </w:rPr>
      </w:pPr>
    </w:p>
    <w:p w14:paraId="4CB79069" w14:textId="3CDFC936" w:rsidR="0094130F" w:rsidRDefault="00EC344E" w:rsidP="0094130F">
      <w:pPr>
        <w:pStyle w:val="Heading1"/>
        <w:numPr>
          <w:ilvl w:val="0"/>
          <w:numId w:val="3"/>
        </w:numPr>
        <w:rPr>
          <w:rFonts w:cs="Arial"/>
          <w:lang w:val="en-US"/>
        </w:rPr>
      </w:pPr>
      <w:r>
        <w:rPr>
          <w:rFonts w:cs="Arial"/>
          <w:lang w:val="en-US"/>
        </w:rPr>
        <w:t>Mode of operation indication options</w:t>
      </w:r>
    </w:p>
    <w:p w14:paraId="1CEB96DC" w14:textId="75AC21FF" w:rsidR="0020754E" w:rsidRDefault="00EC344E" w:rsidP="00E33ACA">
      <w:pPr>
        <w:pStyle w:val="Heading2"/>
      </w:pPr>
      <w:r>
        <w:t>3.1 Using</w:t>
      </w:r>
      <w:r w:rsidR="00E33ACA">
        <w:t xml:space="preserve"> NB-PSS</w:t>
      </w:r>
    </w:p>
    <w:p w14:paraId="4D3F5902" w14:textId="77777777" w:rsidR="00405ED5" w:rsidRDefault="00E33ACA" w:rsidP="00F5402D">
      <w:pPr>
        <w:jc w:val="both"/>
        <w:rPr>
          <w:rFonts w:eastAsiaTheme="minorEastAsia"/>
          <w:lang w:eastAsia="zh-CN"/>
        </w:rPr>
      </w:pPr>
      <w:r>
        <w:t xml:space="preserve">The NB-PSS sequence is used to achieve time and frequency synchronization. </w:t>
      </w:r>
      <w:r w:rsidR="00124E15">
        <w:t xml:space="preserve">Given that NB-PSS detection forms a major part of device complexity, it is not recommended to have multiple NB-PSS sequences indicating information regarding mode of operation or raster frequency offset. </w:t>
      </w:r>
      <w:r w:rsidR="00037703">
        <w:t>Indicating all this information during NB-PSS detection phase would lead to high number of hypotheses tests and extremely high device complexity. Having said that, one bit of information can be carried in NB-PSS by making use of complex conjugate property of NB-PSS sequences [</w:t>
      </w:r>
      <w:r w:rsidR="00924B01">
        <w:t>3</w:t>
      </w:r>
      <w:r w:rsidR="00037703">
        <w:t>]</w:t>
      </w:r>
      <w:r w:rsidR="000254A0">
        <w:t xml:space="preserve">. In this case, a ‘one-shot’ correlator can be used to determine the correlation results for the NB-PSS sequence and its complex conjugate. </w:t>
      </w:r>
      <w:r w:rsidR="00F5402D">
        <w:rPr>
          <w:rFonts w:eastAsiaTheme="minorEastAsia"/>
          <w:lang w:eastAsia="zh-CN"/>
        </w:rPr>
        <w:t>Exploiting the computational benefits of complex conjugate Zadoff Chu sequences for number of required correlation o</w:t>
      </w:r>
      <w:r w:rsidR="00405ED5">
        <w:rPr>
          <w:rFonts w:eastAsiaTheme="minorEastAsia"/>
          <w:lang w:eastAsia="zh-CN"/>
        </w:rPr>
        <w:t xml:space="preserve">perations, a one </w:t>
      </w:r>
      <w:r w:rsidR="00F5402D">
        <w:rPr>
          <w:rFonts w:eastAsiaTheme="minorEastAsia"/>
          <w:lang w:eastAsia="zh-CN"/>
        </w:rPr>
        <w:t>bit of information can be conveyed using NB-PSS. This can be used to indicate either stand</w:t>
      </w:r>
      <w:r w:rsidR="008706B1">
        <w:rPr>
          <w:rFonts w:eastAsiaTheme="minorEastAsia"/>
          <w:lang w:eastAsia="zh-CN"/>
        </w:rPr>
        <w:t>alone vs guard-band/</w:t>
      </w:r>
      <w:r w:rsidR="00F5402D">
        <w:rPr>
          <w:rFonts w:eastAsiaTheme="minorEastAsia"/>
          <w:lang w:eastAsia="zh-CN"/>
        </w:rPr>
        <w:t xml:space="preserve">in-band, or used to indicate standalone/guard-band vs in-band. </w:t>
      </w:r>
      <w:r w:rsidR="00CB0E19">
        <w:rPr>
          <w:rFonts w:eastAsiaTheme="minorEastAsia"/>
          <w:lang w:eastAsia="zh-CN"/>
        </w:rPr>
        <w:t xml:space="preserve">Note that the former implicitly also indicates whether the raster frequency </w:t>
      </w:r>
      <w:r w:rsidR="00057AA6">
        <w:rPr>
          <w:rFonts w:eastAsiaTheme="minorEastAsia"/>
          <w:lang w:eastAsia="zh-CN"/>
        </w:rPr>
        <w:t xml:space="preserve">offset is zero vs non-zero and the latter implicitly indicates the </w:t>
      </w:r>
      <w:r w:rsidR="000E0B42">
        <w:rPr>
          <w:rFonts w:eastAsiaTheme="minorEastAsia"/>
          <w:lang w:eastAsia="zh-CN"/>
        </w:rPr>
        <w:t>absence</w:t>
      </w:r>
      <w:r w:rsidR="00057AA6">
        <w:rPr>
          <w:rFonts w:eastAsiaTheme="minorEastAsia"/>
          <w:lang w:eastAsia="zh-CN"/>
        </w:rPr>
        <w:t xml:space="preserve"> or </w:t>
      </w:r>
      <w:r w:rsidR="000E0B42">
        <w:rPr>
          <w:rFonts w:eastAsiaTheme="minorEastAsia"/>
          <w:lang w:eastAsia="zh-CN"/>
        </w:rPr>
        <w:t>presence</w:t>
      </w:r>
      <w:r w:rsidR="00057AA6">
        <w:rPr>
          <w:rFonts w:eastAsiaTheme="minorEastAsia"/>
          <w:lang w:eastAsia="zh-CN"/>
        </w:rPr>
        <w:t xml:space="preserve"> of cell specific reference signals (CRS). </w:t>
      </w:r>
      <w:r w:rsidR="00A5370C">
        <w:rPr>
          <w:rFonts w:eastAsiaTheme="minorEastAsia"/>
          <w:lang w:eastAsia="zh-CN"/>
        </w:rPr>
        <w:t>The latter should be used only if indicating t</w:t>
      </w:r>
      <w:r w:rsidR="000714CC">
        <w:rPr>
          <w:rFonts w:eastAsiaTheme="minorEastAsia"/>
          <w:lang w:eastAsia="zh-CN"/>
        </w:rPr>
        <w:t>he presence or absence of CRS helps the UE in improving NB-SSS dete</w:t>
      </w:r>
      <w:r w:rsidR="008B5D08">
        <w:rPr>
          <w:rFonts w:eastAsiaTheme="minorEastAsia"/>
          <w:lang w:eastAsia="zh-CN"/>
        </w:rPr>
        <w:t xml:space="preserve">ction. </w:t>
      </w:r>
    </w:p>
    <w:p w14:paraId="55F94D3B" w14:textId="2BDC81B1" w:rsidR="008B5D08" w:rsidRDefault="00405ED5" w:rsidP="00F5402D">
      <w:pPr>
        <w:jc w:val="both"/>
        <w:rPr>
          <w:rFonts w:eastAsiaTheme="minorEastAsia"/>
          <w:lang w:eastAsia="zh-CN"/>
        </w:rPr>
      </w:pPr>
      <w:r>
        <w:rPr>
          <w:rFonts w:eastAsiaTheme="minorEastAsia"/>
          <w:lang w:eastAsia="zh-CN"/>
        </w:rPr>
        <w:t>To evaluate if the information regarding absence of CRS helps in better NB-SSS detection, w</w:t>
      </w:r>
      <w:r w:rsidR="008B5D08">
        <w:rPr>
          <w:rFonts w:eastAsiaTheme="minorEastAsia"/>
          <w:lang w:eastAsia="zh-CN"/>
        </w:rPr>
        <w:t>e simulate the NB-SSS detection for the two scenarios to help us make this decision. We use the NB-SSS design and simulation assumptions in [</w:t>
      </w:r>
      <w:r w:rsidR="00924B01">
        <w:rPr>
          <w:rFonts w:eastAsiaTheme="minorEastAsia"/>
          <w:lang w:eastAsia="zh-CN"/>
        </w:rPr>
        <w:t>4</w:t>
      </w:r>
      <w:r w:rsidR="008B5D08">
        <w:rPr>
          <w:rFonts w:eastAsiaTheme="minorEastAsia"/>
          <w:lang w:eastAsia="zh-CN"/>
        </w:rPr>
        <w:t>] to perform the simulations. We simulate the following two cases:</w:t>
      </w:r>
    </w:p>
    <w:p w14:paraId="0AC876BB" w14:textId="2A0EFB96" w:rsidR="008B5D08" w:rsidRDefault="008B5D08" w:rsidP="00F5402D">
      <w:pPr>
        <w:jc w:val="both"/>
        <w:rPr>
          <w:rFonts w:eastAsiaTheme="minorEastAsia"/>
          <w:lang w:eastAsia="zh-CN"/>
        </w:rPr>
      </w:pPr>
      <w:r>
        <w:rPr>
          <w:rFonts w:eastAsiaTheme="minorEastAsia"/>
          <w:lang w:eastAsia="zh-CN"/>
        </w:rPr>
        <w:t xml:space="preserve">Case 1: </w:t>
      </w:r>
      <w:r w:rsidRPr="008B5D08">
        <w:rPr>
          <w:rFonts w:eastAsiaTheme="minorEastAsia"/>
          <w:lang w:eastAsia="zh-CN"/>
        </w:rPr>
        <w:t>NB-SSS is punctured and that knowledge is not available at the receiver.</w:t>
      </w:r>
    </w:p>
    <w:p w14:paraId="4231A525" w14:textId="77777777" w:rsidR="008B5D08" w:rsidRDefault="008B5D08" w:rsidP="00F5402D">
      <w:pPr>
        <w:jc w:val="both"/>
      </w:pPr>
      <w:r>
        <w:rPr>
          <w:rFonts w:eastAsiaTheme="minorEastAsia"/>
          <w:lang w:eastAsia="zh-CN"/>
        </w:rPr>
        <w:t xml:space="preserve">Case 2: </w:t>
      </w:r>
      <w:r w:rsidRPr="008B5D08">
        <w:rPr>
          <w:rFonts w:eastAsiaTheme="minorEastAsia"/>
          <w:lang w:eastAsia="zh-CN"/>
        </w:rPr>
        <w:t>NB-SSS is punctured and that information is available at the receiver and the receiver punctures corresponding RE locations for both local and received copy of the sequences.</w:t>
      </w:r>
      <w:r w:rsidRPr="008B5D08">
        <w:t xml:space="preserve"> </w:t>
      </w:r>
    </w:p>
    <w:p w14:paraId="1BD66D3B" w14:textId="249D14FD" w:rsidR="008B5D08" w:rsidRDefault="008B5D08" w:rsidP="00F5402D">
      <w:pPr>
        <w:jc w:val="both"/>
        <w:rPr>
          <w:rFonts w:eastAsiaTheme="minorEastAsia"/>
          <w:lang w:eastAsia="zh-CN"/>
        </w:rPr>
      </w:pPr>
      <w:r w:rsidRPr="008B5D08">
        <w:rPr>
          <w:rFonts w:eastAsiaTheme="minorEastAsia"/>
          <w:lang w:eastAsia="zh-CN"/>
        </w:rPr>
        <w:t>The sim</w:t>
      </w:r>
      <w:r>
        <w:rPr>
          <w:rFonts w:eastAsiaTheme="minorEastAsia"/>
          <w:lang w:eastAsia="zh-CN"/>
        </w:rPr>
        <w:t>ulation</w:t>
      </w:r>
      <w:r w:rsidRPr="008B5D08">
        <w:rPr>
          <w:rFonts w:eastAsiaTheme="minorEastAsia"/>
          <w:lang w:eastAsia="zh-CN"/>
        </w:rPr>
        <w:t xml:space="preserve">s </w:t>
      </w:r>
      <w:r w:rsidR="006D5373">
        <w:rPr>
          <w:rFonts w:eastAsiaTheme="minorEastAsia"/>
          <w:lang w:eastAsia="zh-CN"/>
        </w:rPr>
        <w:t>are for extreme coverage: 164 dB</w:t>
      </w:r>
      <w:r w:rsidRPr="008B5D08">
        <w:rPr>
          <w:rFonts w:eastAsiaTheme="minorEastAsia"/>
          <w:lang w:eastAsia="zh-CN"/>
        </w:rPr>
        <w:t xml:space="preserve"> MCL and in-band deployment</w:t>
      </w:r>
      <w:r w:rsidR="003E14EA">
        <w:rPr>
          <w:rFonts w:eastAsiaTheme="minorEastAsia"/>
          <w:lang w:eastAsia="zh-CN"/>
        </w:rPr>
        <w:t xml:space="preserve"> with CRS on two antenna ports</w:t>
      </w:r>
      <w:r w:rsidRPr="008B5D08">
        <w:rPr>
          <w:rFonts w:eastAsiaTheme="minorEastAsia"/>
          <w:lang w:eastAsia="zh-CN"/>
        </w:rPr>
        <w:t>. This is the time required to detect NB-SSS after NB-PSS has been correctly detected.</w:t>
      </w:r>
      <w:r w:rsidR="008A7EDC">
        <w:rPr>
          <w:rFonts w:eastAsiaTheme="minorEastAsia"/>
          <w:lang w:eastAsia="zh-CN"/>
        </w:rPr>
        <w:t xml:space="preserve"> Since NB-SSS is sent every 20 ms, post NB-PSS detection, the UE looks for NB-SSS in 20 ms windows.</w:t>
      </w:r>
      <w:r w:rsidR="003E7066">
        <w:rPr>
          <w:rFonts w:eastAsiaTheme="minorEastAsia"/>
          <w:lang w:eastAsia="zh-CN"/>
        </w:rPr>
        <w:t xml:space="preserve"> </w:t>
      </w:r>
    </w:p>
    <w:p w14:paraId="488C9798" w14:textId="48520CBD" w:rsidR="0026728C" w:rsidRDefault="0026728C" w:rsidP="0026728C">
      <w:pPr>
        <w:jc w:val="center"/>
      </w:pPr>
      <w:r>
        <w:rPr>
          <w:b/>
          <w:iCs/>
          <w:lang w:eastAsia="zh-CN"/>
        </w:rPr>
        <w:t xml:space="preserve">Table 1: Time required for </w:t>
      </w:r>
      <w:r w:rsidR="004F0479">
        <w:rPr>
          <w:b/>
          <w:iCs/>
          <w:lang w:eastAsia="zh-CN"/>
        </w:rPr>
        <w:t>NB-SSS detection</w:t>
      </w:r>
      <w:r>
        <w:rPr>
          <w:b/>
          <w:iCs/>
          <w:lang w:eastAsia="zh-CN"/>
        </w:rPr>
        <w:t xml:space="preserve"> (in ms) for in-band</w:t>
      </w:r>
      <w:r w:rsidR="0078316A">
        <w:rPr>
          <w:b/>
          <w:iCs/>
          <w:lang w:eastAsia="zh-CN"/>
        </w:rPr>
        <w:t xml:space="preserve"> deployment</w:t>
      </w:r>
    </w:p>
    <w:tbl>
      <w:tblPr>
        <w:tblW w:w="0" w:type="auto"/>
        <w:jc w:val="center"/>
        <w:tblCellMar>
          <w:left w:w="0" w:type="dxa"/>
          <w:right w:w="0" w:type="dxa"/>
        </w:tblCellMar>
        <w:tblLook w:val="04A0" w:firstRow="1" w:lastRow="0" w:firstColumn="1" w:lastColumn="0" w:noHBand="0" w:noVBand="1"/>
      </w:tblPr>
      <w:tblGrid>
        <w:gridCol w:w="2490"/>
        <w:gridCol w:w="2491"/>
        <w:gridCol w:w="2491"/>
      </w:tblGrid>
      <w:tr w:rsidR="00C24899" w14:paraId="7A7D9527" w14:textId="77777777" w:rsidTr="00582189">
        <w:trPr>
          <w:jc w:val="center"/>
        </w:trPr>
        <w:tc>
          <w:tcPr>
            <w:tcW w:w="2490"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0" w:type="dxa"/>
              <w:left w:w="108" w:type="dxa"/>
              <w:bottom w:w="0" w:type="dxa"/>
              <w:right w:w="108" w:type="dxa"/>
            </w:tcMar>
            <w:hideMark/>
          </w:tcPr>
          <w:p w14:paraId="2C9D8D1B" w14:textId="77777777" w:rsidR="00C24899" w:rsidRDefault="00C24899">
            <w:pPr>
              <w:spacing w:before="120" w:line="280" w:lineRule="atLeast"/>
              <w:jc w:val="both"/>
              <w:rPr>
                <w:lang w:val="en-US"/>
              </w:rPr>
            </w:pPr>
            <w:r>
              <w:t xml:space="preserve">Statistic </w:t>
            </w:r>
          </w:p>
        </w:tc>
        <w:tc>
          <w:tcPr>
            <w:tcW w:w="2491" w:type="dxa"/>
            <w:tcBorders>
              <w:top w:val="single" w:sz="8" w:space="0" w:color="auto"/>
              <w:left w:val="nil"/>
              <w:bottom w:val="single" w:sz="8" w:space="0" w:color="auto"/>
              <w:right w:val="single" w:sz="8" w:space="0" w:color="auto"/>
            </w:tcBorders>
            <w:shd w:val="clear" w:color="auto" w:fill="9CC2E5" w:themeFill="accent1" w:themeFillTint="99"/>
            <w:tcMar>
              <w:top w:w="0" w:type="dxa"/>
              <w:left w:w="108" w:type="dxa"/>
              <w:bottom w:w="0" w:type="dxa"/>
              <w:right w:w="108" w:type="dxa"/>
            </w:tcMar>
            <w:hideMark/>
          </w:tcPr>
          <w:p w14:paraId="333B0E3D" w14:textId="77777777" w:rsidR="00C24899" w:rsidRDefault="00C24899">
            <w:pPr>
              <w:spacing w:before="120" w:line="280" w:lineRule="atLeast"/>
              <w:jc w:val="both"/>
              <w:rPr>
                <w:rFonts w:ascii="Calibri" w:hAnsi="Calibri"/>
                <w:sz w:val="22"/>
                <w:szCs w:val="22"/>
              </w:rPr>
            </w:pPr>
            <w:r>
              <w:t>Case 1</w:t>
            </w:r>
          </w:p>
        </w:tc>
        <w:tc>
          <w:tcPr>
            <w:tcW w:w="2491" w:type="dxa"/>
            <w:tcBorders>
              <w:top w:val="single" w:sz="8" w:space="0" w:color="auto"/>
              <w:left w:val="nil"/>
              <w:bottom w:val="single" w:sz="8" w:space="0" w:color="auto"/>
              <w:right w:val="single" w:sz="8" w:space="0" w:color="auto"/>
            </w:tcBorders>
            <w:shd w:val="clear" w:color="auto" w:fill="9CC2E5" w:themeFill="accent1" w:themeFillTint="99"/>
            <w:tcMar>
              <w:top w:w="0" w:type="dxa"/>
              <w:left w:w="108" w:type="dxa"/>
              <w:bottom w:w="0" w:type="dxa"/>
              <w:right w:w="108" w:type="dxa"/>
            </w:tcMar>
            <w:hideMark/>
          </w:tcPr>
          <w:p w14:paraId="7B9E144C" w14:textId="77777777" w:rsidR="00C24899" w:rsidRDefault="00C24899">
            <w:pPr>
              <w:spacing w:before="120" w:line="280" w:lineRule="atLeast"/>
              <w:jc w:val="both"/>
            </w:pPr>
            <w:r>
              <w:t>Case 2</w:t>
            </w:r>
          </w:p>
        </w:tc>
      </w:tr>
      <w:tr w:rsidR="00C24899" w14:paraId="13DC8EEE" w14:textId="77777777" w:rsidTr="00582189">
        <w:trPr>
          <w:jc w:val="center"/>
        </w:trPr>
        <w:tc>
          <w:tcPr>
            <w:tcW w:w="2490" w:type="dxa"/>
            <w:tcBorders>
              <w:top w:val="nil"/>
              <w:left w:val="single" w:sz="8" w:space="0" w:color="auto"/>
              <w:bottom w:val="single" w:sz="8" w:space="0" w:color="auto"/>
              <w:right w:val="single" w:sz="8" w:space="0" w:color="auto"/>
            </w:tcBorders>
            <w:shd w:val="clear" w:color="auto" w:fill="9CC2E5" w:themeFill="accent1" w:themeFillTint="99"/>
            <w:tcMar>
              <w:top w:w="0" w:type="dxa"/>
              <w:left w:w="108" w:type="dxa"/>
              <w:bottom w:w="0" w:type="dxa"/>
              <w:right w:w="108" w:type="dxa"/>
            </w:tcMar>
            <w:hideMark/>
          </w:tcPr>
          <w:p w14:paraId="3ECFE896" w14:textId="77777777" w:rsidR="00C24899" w:rsidRDefault="00C24899">
            <w:pPr>
              <w:spacing w:before="120" w:line="280" w:lineRule="atLeast"/>
              <w:jc w:val="both"/>
            </w:pPr>
            <w:r>
              <w:t xml:space="preserve">Average </w:t>
            </w:r>
          </w:p>
        </w:tc>
        <w:tc>
          <w:tcPr>
            <w:tcW w:w="2491" w:type="dxa"/>
            <w:tcBorders>
              <w:top w:val="nil"/>
              <w:left w:val="nil"/>
              <w:bottom w:val="single" w:sz="8" w:space="0" w:color="auto"/>
              <w:right w:val="single" w:sz="8" w:space="0" w:color="auto"/>
            </w:tcBorders>
            <w:tcMar>
              <w:top w:w="0" w:type="dxa"/>
              <w:left w:w="108" w:type="dxa"/>
              <w:bottom w:w="0" w:type="dxa"/>
              <w:right w:w="108" w:type="dxa"/>
            </w:tcMar>
            <w:hideMark/>
          </w:tcPr>
          <w:p w14:paraId="491AA03A" w14:textId="3B3EF2F7" w:rsidR="00C24899" w:rsidRDefault="00331DC4">
            <w:pPr>
              <w:spacing w:before="120" w:line="280" w:lineRule="atLeast"/>
              <w:jc w:val="both"/>
            </w:pPr>
            <w:r>
              <w:t>65.84</w:t>
            </w:r>
          </w:p>
        </w:tc>
        <w:tc>
          <w:tcPr>
            <w:tcW w:w="2491" w:type="dxa"/>
            <w:tcBorders>
              <w:top w:val="nil"/>
              <w:left w:val="nil"/>
              <w:bottom w:val="single" w:sz="8" w:space="0" w:color="auto"/>
              <w:right w:val="single" w:sz="8" w:space="0" w:color="auto"/>
            </w:tcBorders>
            <w:tcMar>
              <w:top w:w="0" w:type="dxa"/>
              <w:left w:w="108" w:type="dxa"/>
              <w:bottom w:w="0" w:type="dxa"/>
              <w:right w:w="108" w:type="dxa"/>
            </w:tcMar>
            <w:hideMark/>
          </w:tcPr>
          <w:p w14:paraId="1D81B3D4" w14:textId="7A6F81D9" w:rsidR="00C24899" w:rsidRDefault="00331DC4">
            <w:pPr>
              <w:spacing w:before="120" w:line="280" w:lineRule="atLeast"/>
              <w:jc w:val="both"/>
            </w:pPr>
            <w:r>
              <w:t>65.0</w:t>
            </w:r>
            <w:r w:rsidR="00E3343E">
              <w:t>8</w:t>
            </w:r>
          </w:p>
        </w:tc>
      </w:tr>
      <w:tr w:rsidR="00C24899" w14:paraId="62D16494" w14:textId="77777777" w:rsidTr="00582189">
        <w:trPr>
          <w:jc w:val="center"/>
        </w:trPr>
        <w:tc>
          <w:tcPr>
            <w:tcW w:w="2490" w:type="dxa"/>
            <w:tcBorders>
              <w:top w:val="nil"/>
              <w:left w:val="single" w:sz="8" w:space="0" w:color="auto"/>
              <w:bottom w:val="single" w:sz="8" w:space="0" w:color="auto"/>
              <w:right w:val="single" w:sz="8" w:space="0" w:color="auto"/>
            </w:tcBorders>
            <w:shd w:val="clear" w:color="auto" w:fill="9CC2E5" w:themeFill="accent1" w:themeFillTint="99"/>
            <w:tcMar>
              <w:top w:w="0" w:type="dxa"/>
              <w:left w:w="108" w:type="dxa"/>
              <w:bottom w:w="0" w:type="dxa"/>
              <w:right w:w="108" w:type="dxa"/>
            </w:tcMar>
            <w:hideMark/>
          </w:tcPr>
          <w:p w14:paraId="0F63FBCF" w14:textId="77777777" w:rsidR="00C24899" w:rsidRDefault="00C24899">
            <w:pPr>
              <w:spacing w:before="120" w:line="280" w:lineRule="atLeast"/>
              <w:jc w:val="both"/>
            </w:pPr>
            <w:r>
              <w:t>50</w:t>
            </w:r>
            <w:r>
              <w:rPr>
                <w:vertAlign w:val="superscript"/>
              </w:rPr>
              <w:t>th</w:t>
            </w:r>
            <w:r>
              <w:t xml:space="preserve"> percentile</w:t>
            </w:r>
          </w:p>
        </w:tc>
        <w:tc>
          <w:tcPr>
            <w:tcW w:w="2491" w:type="dxa"/>
            <w:tcBorders>
              <w:top w:val="nil"/>
              <w:left w:val="nil"/>
              <w:bottom w:val="single" w:sz="8" w:space="0" w:color="auto"/>
              <w:right w:val="single" w:sz="8" w:space="0" w:color="auto"/>
            </w:tcBorders>
            <w:tcMar>
              <w:top w:w="0" w:type="dxa"/>
              <w:left w:w="108" w:type="dxa"/>
              <w:bottom w:w="0" w:type="dxa"/>
              <w:right w:w="108" w:type="dxa"/>
            </w:tcMar>
            <w:hideMark/>
          </w:tcPr>
          <w:p w14:paraId="09BFE249" w14:textId="534FB8E0" w:rsidR="00C24899" w:rsidRDefault="0032639D">
            <w:pPr>
              <w:spacing w:before="120" w:line="280" w:lineRule="atLeast"/>
              <w:jc w:val="both"/>
            </w:pPr>
            <w:r>
              <w:t>40</w:t>
            </w:r>
          </w:p>
        </w:tc>
        <w:tc>
          <w:tcPr>
            <w:tcW w:w="2491" w:type="dxa"/>
            <w:tcBorders>
              <w:top w:val="nil"/>
              <w:left w:val="nil"/>
              <w:bottom w:val="single" w:sz="8" w:space="0" w:color="auto"/>
              <w:right w:val="single" w:sz="8" w:space="0" w:color="auto"/>
            </w:tcBorders>
            <w:tcMar>
              <w:top w:w="0" w:type="dxa"/>
              <w:left w:w="108" w:type="dxa"/>
              <w:bottom w:w="0" w:type="dxa"/>
              <w:right w:w="108" w:type="dxa"/>
            </w:tcMar>
            <w:hideMark/>
          </w:tcPr>
          <w:p w14:paraId="2158B2D5" w14:textId="01ED3AD8" w:rsidR="00C24899" w:rsidRDefault="0032639D">
            <w:pPr>
              <w:spacing w:before="120" w:line="280" w:lineRule="atLeast"/>
              <w:jc w:val="both"/>
            </w:pPr>
            <w:r>
              <w:t>40</w:t>
            </w:r>
          </w:p>
        </w:tc>
      </w:tr>
      <w:tr w:rsidR="00C24899" w14:paraId="26D82D2C" w14:textId="77777777" w:rsidTr="00582189">
        <w:trPr>
          <w:jc w:val="center"/>
        </w:trPr>
        <w:tc>
          <w:tcPr>
            <w:tcW w:w="2490" w:type="dxa"/>
            <w:tcBorders>
              <w:top w:val="nil"/>
              <w:left w:val="single" w:sz="8" w:space="0" w:color="auto"/>
              <w:bottom w:val="single" w:sz="8" w:space="0" w:color="auto"/>
              <w:right w:val="single" w:sz="8" w:space="0" w:color="auto"/>
            </w:tcBorders>
            <w:shd w:val="clear" w:color="auto" w:fill="9CC2E5" w:themeFill="accent1" w:themeFillTint="99"/>
            <w:tcMar>
              <w:top w:w="0" w:type="dxa"/>
              <w:left w:w="108" w:type="dxa"/>
              <w:bottom w:w="0" w:type="dxa"/>
              <w:right w:w="108" w:type="dxa"/>
            </w:tcMar>
            <w:hideMark/>
          </w:tcPr>
          <w:p w14:paraId="160C5B62" w14:textId="77777777" w:rsidR="00C24899" w:rsidRDefault="00C24899">
            <w:pPr>
              <w:spacing w:before="120" w:line="280" w:lineRule="atLeast"/>
              <w:jc w:val="both"/>
            </w:pPr>
            <w:r>
              <w:t>95</w:t>
            </w:r>
            <w:r>
              <w:rPr>
                <w:vertAlign w:val="superscript"/>
              </w:rPr>
              <w:t>th</w:t>
            </w:r>
            <w:r>
              <w:t xml:space="preserve"> percentile</w:t>
            </w:r>
          </w:p>
        </w:tc>
        <w:tc>
          <w:tcPr>
            <w:tcW w:w="2491" w:type="dxa"/>
            <w:tcBorders>
              <w:top w:val="nil"/>
              <w:left w:val="nil"/>
              <w:bottom w:val="single" w:sz="8" w:space="0" w:color="auto"/>
              <w:right w:val="single" w:sz="8" w:space="0" w:color="auto"/>
            </w:tcBorders>
            <w:tcMar>
              <w:top w:w="0" w:type="dxa"/>
              <w:left w:w="108" w:type="dxa"/>
              <w:bottom w:w="0" w:type="dxa"/>
              <w:right w:w="108" w:type="dxa"/>
            </w:tcMar>
            <w:hideMark/>
          </w:tcPr>
          <w:p w14:paraId="731A7B5E" w14:textId="02F48B0A" w:rsidR="00C24899" w:rsidRDefault="0032639D">
            <w:pPr>
              <w:spacing w:before="120" w:line="280" w:lineRule="atLeast"/>
              <w:jc w:val="both"/>
            </w:pPr>
            <w:r>
              <w:t>240</w:t>
            </w:r>
          </w:p>
        </w:tc>
        <w:tc>
          <w:tcPr>
            <w:tcW w:w="2491" w:type="dxa"/>
            <w:tcBorders>
              <w:top w:val="nil"/>
              <w:left w:val="nil"/>
              <w:bottom w:val="single" w:sz="8" w:space="0" w:color="auto"/>
              <w:right w:val="single" w:sz="8" w:space="0" w:color="auto"/>
            </w:tcBorders>
            <w:tcMar>
              <w:top w:w="0" w:type="dxa"/>
              <w:left w:w="108" w:type="dxa"/>
              <w:bottom w:w="0" w:type="dxa"/>
              <w:right w:w="108" w:type="dxa"/>
            </w:tcMar>
            <w:hideMark/>
          </w:tcPr>
          <w:p w14:paraId="59FBAAE6" w14:textId="059289B0" w:rsidR="00C24899" w:rsidRDefault="0032639D">
            <w:pPr>
              <w:spacing w:before="120" w:line="280" w:lineRule="atLeast"/>
              <w:jc w:val="both"/>
            </w:pPr>
            <w:r>
              <w:t>240</w:t>
            </w:r>
          </w:p>
        </w:tc>
      </w:tr>
    </w:tbl>
    <w:p w14:paraId="5E4DC084" w14:textId="77777777" w:rsidR="00C24899" w:rsidRDefault="00C24899" w:rsidP="00F5402D">
      <w:pPr>
        <w:jc w:val="both"/>
        <w:rPr>
          <w:rFonts w:eastAsiaTheme="minorEastAsia"/>
          <w:lang w:eastAsia="zh-CN"/>
        </w:rPr>
      </w:pPr>
    </w:p>
    <w:p w14:paraId="75BF36C6" w14:textId="1AE4323B" w:rsidR="00D65F72" w:rsidRDefault="00D65F72" w:rsidP="00F5402D">
      <w:pPr>
        <w:jc w:val="both"/>
        <w:rPr>
          <w:rFonts w:eastAsiaTheme="minorEastAsia"/>
          <w:lang w:eastAsia="zh-CN"/>
        </w:rPr>
      </w:pPr>
      <w:r>
        <w:rPr>
          <w:rFonts w:eastAsiaTheme="minorEastAsia"/>
          <w:lang w:eastAsia="zh-CN"/>
        </w:rPr>
        <w:t xml:space="preserve">As can be </w:t>
      </w:r>
      <w:r w:rsidR="006D5373">
        <w:rPr>
          <w:rFonts w:eastAsiaTheme="minorEastAsia"/>
          <w:lang w:eastAsia="zh-CN"/>
        </w:rPr>
        <w:t>expected</w:t>
      </w:r>
      <w:r>
        <w:rPr>
          <w:rFonts w:eastAsiaTheme="minorEastAsia"/>
          <w:lang w:eastAsia="zh-CN"/>
        </w:rPr>
        <w:t xml:space="preserve">, </w:t>
      </w:r>
      <w:r w:rsidR="006D5373">
        <w:rPr>
          <w:rFonts w:eastAsiaTheme="minorEastAsia"/>
          <w:lang w:eastAsia="zh-CN"/>
        </w:rPr>
        <w:t xml:space="preserve">Table 1 shows that </w:t>
      </w:r>
      <w:r>
        <w:rPr>
          <w:rFonts w:eastAsiaTheme="minorEastAsia"/>
          <w:lang w:eastAsia="zh-CN"/>
        </w:rPr>
        <w:t>the information regarding the presence of CRS does not lead to any gain in NB-SSS detection. Thus, the one bit of information can be used to indicate standalone vs</w:t>
      </w:r>
      <w:r w:rsidR="006D5373">
        <w:rPr>
          <w:rFonts w:eastAsiaTheme="minorEastAsia"/>
          <w:lang w:eastAsia="zh-CN"/>
        </w:rPr>
        <w:t>.</w:t>
      </w:r>
      <w:r>
        <w:rPr>
          <w:rFonts w:eastAsiaTheme="minorEastAsia"/>
          <w:lang w:eastAsia="zh-CN"/>
        </w:rPr>
        <w:t xml:space="preserve"> guard-band/in-band</w:t>
      </w:r>
      <w:r w:rsidR="008B15FE">
        <w:rPr>
          <w:rFonts w:eastAsiaTheme="minorEastAsia"/>
          <w:lang w:eastAsia="zh-CN"/>
        </w:rPr>
        <w:t xml:space="preserve"> operation mode</w:t>
      </w:r>
      <w:r>
        <w:rPr>
          <w:rFonts w:eastAsiaTheme="minorEastAsia"/>
          <w:lang w:eastAsia="zh-CN"/>
        </w:rPr>
        <w:t>.</w:t>
      </w:r>
    </w:p>
    <w:p w14:paraId="48C2D7EC" w14:textId="0FEE994D" w:rsidR="00911DFC" w:rsidRPr="000274C7" w:rsidRDefault="00AA6387" w:rsidP="00F5402D">
      <w:pPr>
        <w:jc w:val="both"/>
        <w:rPr>
          <w:rFonts w:eastAsiaTheme="minorEastAsia"/>
          <w:b/>
          <w:i/>
          <w:u w:val="single"/>
          <w:lang w:eastAsia="zh-CN"/>
        </w:rPr>
      </w:pPr>
      <w:r w:rsidRPr="000274C7">
        <w:rPr>
          <w:rFonts w:eastAsiaTheme="minorEastAsia"/>
          <w:b/>
          <w:i/>
          <w:u w:val="single"/>
          <w:lang w:eastAsia="zh-CN"/>
        </w:rPr>
        <w:t>Proposal 2</w:t>
      </w:r>
      <w:r w:rsidR="00911DFC" w:rsidRPr="000274C7">
        <w:rPr>
          <w:rFonts w:eastAsiaTheme="minorEastAsia"/>
          <w:b/>
          <w:i/>
          <w:u w:val="single"/>
          <w:lang w:eastAsia="zh-CN"/>
        </w:rPr>
        <w:t>: The NB-PSS should not be used to indicate all the information regarding mode of operation and frequency offsets resulting from the channel raster. If needed, NB-PSS sequence and its complex conjugate can be used to differentiate between standalone vs guard-band/in-band.</w:t>
      </w:r>
    </w:p>
    <w:p w14:paraId="06B50859" w14:textId="4F24E54E" w:rsidR="00D65F72" w:rsidRDefault="00D65F72" w:rsidP="00D65F72">
      <w:pPr>
        <w:pStyle w:val="Heading2"/>
      </w:pPr>
      <w:r>
        <w:t>3.2 Using NB-SSS</w:t>
      </w:r>
    </w:p>
    <w:p w14:paraId="50ACC5DF" w14:textId="531FE158" w:rsidR="00407016" w:rsidRDefault="00D65F72" w:rsidP="00911DFC">
      <w:pPr>
        <w:jc w:val="both"/>
      </w:pPr>
      <w:r>
        <w:t xml:space="preserve">NB-SSS is used to indicate the cell ID and frame location within a 80 ms </w:t>
      </w:r>
      <w:r w:rsidR="00186133">
        <w:t>NB-frame</w:t>
      </w:r>
      <w:r>
        <w:t xml:space="preserve">. </w:t>
      </w:r>
      <w:r w:rsidR="00924B01">
        <w:t>In [5</w:t>
      </w:r>
      <w:r w:rsidR="00911DFC">
        <w:t xml:space="preserve">], it is suggested to use NB-SSS to indicate the operation modes. If NB-SSS sequences are also used to indicate the operation modes, </w:t>
      </w:r>
      <w:r w:rsidR="00375473">
        <w:t>3</w:t>
      </w:r>
      <w:r w:rsidR="00911DFC">
        <w:t xml:space="preserve"> different sets of NB-SSS sequences need to be designed. </w:t>
      </w:r>
      <w:r w:rsidR="00A73741">
        <w:t xml:space="preserve">If only the offsets resulting from the raster frequency needs to be indicated, 5 </w:t>
      </w:r>
      <w:r w:rsidR="00E025D2">
        <w:t xml:space="preserve">different sets of </w:t>
      </w:r>
      <w:r w:rsidR="00E025D2">
        <w:lastRenderedPageBreak/>
        <w:t xml:space="preserve">NB-SSS sequences need to be designed. </w:t>
      </w:r>
      <w:r w:rsidR="005421AB">
        <w:t xml:space="preserve">Indicating a combination of operation mode and offsets resulting from channel raster would need design of even higher number of sequences. In principle, it is possible to design scrambling sequences or cyclic shifts of Zadoff Chu sequences to </w:t>
      </w:r>
      <w:r w:rsidR="00955EA4">
        <w:t>fulfill</w:t>
      </w:r>
      <w:r w:rsidR="005421AB">
        <w:t xml:space="preserve"> these requirements, but this comes at the cost of increase in device complexity resulting from additional hypotheses tests. Moreover, in Section 3.2, we debate that the mode of operation information can easily be derived from certain fields in NB-MIB</w:t>
      </w:r>
      <w:r w:rsidR="00BF2E79">
        <w:t xml:space="preserve"> (</w:t>
      </w:r>
      <w:r w:rsidR="00630090">
        <w:t>N</w:t>
      </w:r>
      <w:r w:rsidR="00BF2E79">
        <w:t>arrow</w:t>
      </w:r>
      <w:r w:rsidR="00630090">
        <w:t>-Band Master Information B</w:t>
      </w:r>
      <w:r w:rsidR="00BF2E79">
        <w:t>lock)</w:t>
      </w:r>
      <w:r w:rsidR="005421AB">
        <w:t xml:space="preserve"> and thus, indication of operation mode by NB-SSS is not really needed. </w:t>
      </w:r>
    </w:p>
    <w:p w14:paraId="1AC40386" w14:textId="3ACA65C2" w:rsidR="00AA6387" w:rsidRPr="000274C7" w:rsidRDefault="00AA6387" w:rsidP="00911DFC">
      <w:pPr>
        <w:jc w:val="both"/>
        <w:rPr>
          <w:b/>
          <w:i/>
          <w:u w:val="single"/>
        </w:rPr>
      </w:pPr>
      <w:r w:rsidRPr="000274C7">
        <w:rPr>
          <w:b/>
          <w:i/>
          <w:u w:val="single"/>
        </w:rPr>
        <w:t xml:space="preserve">Proposal 3. Using NB-SSS to indicate operation mode </w:t>
      </w:r>
      <w:r w:rsidR="006D456C" w:rsidRPr="000274C7">
        <w:rPr>
          <w:b/>
          <w:i/>
          <w:u w:val="single"/>
        </w:rPr>
        <w:t xml:space="preserve">and/or channel raster offsets </w:t>
      </w:r>
      <w:r w:rsidRPr="000274C7">
        <w:rPr>
          <w:b/>
          <w:i/>
          <w:u w:val="single"/>
        </w:rPr>
        <w:t xml:space="preserve">might lead to higher device complexity because of </w:t>
      </w:r>
      <w:r w:rsidR="00B87A54" w:rsidRPr="000274C7">
        <w:rPr>
          <w:b/>
          <w:i/>
          <w:u w:val="single"/>
        </w:rPr>
        <w:t>more number of</w:t>
      </w:r>
      <w:r w:rsidRPr="000274C7">
        <w:rPr>
          <w:b/>
          <w:i/>
          <w:u w:val="single"/>
        </w:rPr>
        <w:t xml:space="preserve"> hypotheses tests and is thus, </w:t>
      </w:r>
      <w:r w:rsidR="006D456C" w:rsidRPr="000274C7">
        <w:rPr>
          <w:b/>
          <w:i/>
          <w:u w:val="single"/>
        </w:rPr>
        <w:t>not recommended</w:t>
      </w:r>
      <w:r w:rsidRPr="000274C7">
        <w:rPr>
          <w:b/>
          <w:i/>
          <w:u w:val="single"/>
        </w:rPr>
        <w:t xml:space="preserve">.  </w:t>
      </w:r>
    </w:p>
    <w:p w14:paraId="37A4EF75" w14:textId="06F5BD3F" w:rsidR="00407016" w:rsidRDefault="00407016" w:rsidP="00407016">
      <w:pPr>
        <w:pStyle w:val="Heading2"/>
      </w:pPr>
      <w:r>
        <w:t>3.2 Using NB-MIB</w:t>
      </w:r>
    </w:p>
    <w:p w14:paraId="3F67D14F" w14:textId="77777777" w:rsidR="006D5373" w:rsidRDefault="003A428A" w:rsidP="00545E81">
      <w:pPr>
        <w:spacing w:before="120" w:after="240"/>
        <w:jc w:val="both"/>
        <w:rPr>
          <w:color w:val="000000"/>
          <w:lang w:eastAsia="x-none"/>
        </w:rPr>
      </w:pPr>
      <w:r>
        <w:rPr>
          <w:color w:val="000000"/>
          <w:lang w:eastAsia="x-none"/>
        </w:rPr>
        <w:t>The number of CRS antenna ports needs to be included in the NB-MIB for proper decoding of the NB-SIB1</w:t>
      </w:r>
      <w:r w:rsidR="005C2368">
        <w:rPr>
          <w:color w:val="000000"/>
          <w:lang w:eastAsia="x-none"/>
        </w:rPr>
        <w:t xml:space="preserve"> [6]</w:t>
      </w:r>
      <w:r>
        <w:rPr>
          <w:color w:val="000000"/>
          <w:lang w:eastAsia="x-none"/>
        </w:rPr>
        <w:t>. To allow the NB-IoT UE to also use the legacy LTE CRS for channel demodulation, the LTE PRB index in which the NB-PBCH is transmitted can also be included in the NB-MIB. Two bits are required for the number of LTE antenna ports {0,</w:t>
      </w:r>
      <w:r w:rsidR="00183C6E">
        <w:rPr>
          <w:color w:val="000000"/>
          <w:lang w:eastAsia="x-none"/>
        </w:rPr>
        <w:t xml:space="preserve"> </w:t>
      </w:r>
      <w:r>
        <w:rPr>
          <w:color w:val="000000"/>
          <w:lang w:eastAsia="x-none"/>
        </w:rPr>
        <w:t>1,</w:t>
      </w:r>
      <w:r w:rsidR="00183C6E">
        <w:rPr>
          <w:color w:val="000000"/>
          <w:lang w:eastAsia="x-none"/>
        </w:rPr>
        <w:t xml:space="preserve"> </w:t>
      </w:r>
      <w:r>
        <w:rPr>
          <w:color w:val="000000"/>
          <w:lang w:eastAsia="x-none"/>
        </w:rPr>
        <w:t>2,</w:t>
      </w:r>
      <w:r w:rsidR="00183C6E">
        <w:rPr>
          <w:color w:val="000000"/>
          <w:lang w:eastAsia="x-none"/>
        </w:rPr>
        <w:t xml:space="preserve"> </w:t>
      </w:r>
      <w:r>
        <w:rPr>
          <w:color w:val="000000"/>
          <w:lang w:eastAsia="x-none"/>
        </w:rPr>
        <w:t xml:space="preserve">4} and seven bits for the PRB index. </w:t>
      </w:r>
      <w:r w:rsidR="005E115D" w:rsidRPr="005E115D">
        <w:rPr>
          <w:color w:val="000000"/>
          <w:lang w:eastAsia="x-none"/>
        </w:rPr>
        <w:t>The mode of operation can be implicitly indicated by the aforementioned parameters. For example, the PRB index can signal in-band (0-99), guard-band (100-110), or standalone (111) mode of operation. Alternatively, a non-zero number of LTE CRS antenna ports signals in-band mode of operation, if the number of LTE CRS antenna ports is set to zero, the PRB index is used to distinguish between guard-band and standalone mode of operation. Lastly, if the number of LTE CRS antenna ports is set to zero, the PRB index signals standalone mode of operation, otherwise the PRB index distinguishes between in-band and guard-band mode of operation. If the PRB index indicates guard-band mode of operation, the UE shall ignore the indicated number of LTE CRS antenna ports accordingly.</w:t>
      </w:r>
      <w:r w:rsidR="00F36CE2">
        <w:rPr>
          <w:color w:val="000000"/>
          <w:lang w:eastAsia="x-none"/>
        </w:rPr>
        <w:t xml:space="preserve"> </w:t>
      </w:r>
    </w:p>
    <w:p w14:paraId="5C2A03BA" w14:textId="2D82BEEE" w:rsidR="005E115D" w:rsidRDefault="00F36CE2" w:rsidP="00545E81">
      <w:pPr>
        <w:spacing w:before="120" w:after="240"/>
        <w:jc w:val="both"/>
        <w:rPr>
          <w:color w:val="000000"/>
          <w:lang w:eastAsia="x-none"/>
        </w:rPr>
      </w:pPr>
      <w:r>
        <w:rPr>
          <w:color w:val="000000"/>
          <w:lang w:eastAsia="x-none"/>
        </w:rPr>
        <w:t xml:space="preserve">The offsets resulting from channel raster can be indicated before or </w:t>
      </w:r>
      <w:r w:rsidR="006D5373">
        <w:rPr>
          <w:color w:val="000000"/>
          <w:lang w:eastAsia="x-none"/>
        </w:rPr>
        <w:t>as part of the SI message</w:t>
      </w:r>
      <w:r>
        <w:rPr>
          <w:color w:val="000000"/>
          <w:lang w:eastAsia="x-none"/>
        </w:rPr>
        <w:t xml:space="preserve"> </w:t>
      </w:r>
      <w:r w:rsidR="006D5373">
        <w:rPr>
          <w:color w:val="000000"/>
          <w:lang w:eastAsia="x-none"/>
        </w:rPr>
        <w:t>carrying</w:t>
      </w:r>
      <w:r>
        <w:rPr>
          <w:color w:val="000000"/>
          <w:lang w:eastAsia="x-none"/>
        </w:rPr>
        <w:t xml:space="preserve"> the EARFCN </w:t>
      </w:r>
      <w:r w:rsidR="00CA1B74">
        <w:rPr>
          <w:color w:val="000000"/>
          <w:lang w:eastAsia="x-none"/>
        </w:rPr>
        <w:t>for uplink, for e.g., NB-MIB, NB-SIB1, NB-SIB2 etc.</w:t>
      </w:r>
    </w:p>
    <w:p w14:paraId="4E03DB40" w14:textId="43B85C92" w:rsidR="00545E81" w:rsidRPr="000274C7" w:rsidRDefault="005A2638" w:rsidP="00545E81">
      <w:pPr>
        <w:spacing w:before="120" w:after="240"/>
        <w:jc w:val="both"/>
        <w:rPr>
          <w:b/>
          <w:i/>
          <w:color w:val="000000"/>
          <w:u w:val="single"/>
          <w:lang w:eastAsia="x-none"/>
        </w:rPr>
      </w:pPr>
      <w:r w:rsidRPr="000274C7">
        <w:rPr>
          <w:b/>
          <w:i/>
          <w:color w:val="000000"/>
          <w:u w:val="single"/>
          <w:lang w:eastAsia="x-none"/>
        </w:rPr>
        <w:t xml:space="preserve">Observation 2: </w:t>
      </w:r>
      <w:r w:rsidR="00545E81" w:rsidRPr="000274C7">
        <w:rPr>
          <w:b/>
          <w:i/>
          <w:color w:val="000000"/>
          <w:u w:val="single"/>
          <w:lang w:eastAsia="x-none"/>
        </w:rPr>
        <w:t>The number of LTE antenna ports {0,</w:t>
      </w:r>
      <w:r w:rsidR="00CF073C" w:rsidRPr="000274C7">
        <w:rPr>
          <w:b/>
          <w:i/>
          <w:color w:val="000000"/>
          <w:u w:val="single"/>
          <w:lang w:eastAsia="x-none"/>
        </w:rPr>
        <w:t xml:space="preserve"> </w:t>
      </w:r>
      <w:r w:rsidR="00545E81" w:rsidRPr="000274C7">
        <w:rPr>
          <w:b/>
          <w:i/>
          <w:color w:val="000000"/>
          <w:u w:val="single"/>
          <w:lang w:eastAsia="x-none"/>
        </w:rPr>
        <w:t>1,</w:t>
      </w:r>
      <w:r w:rsidR="00CF073C" w:rsidRPr="000274C7">
        <w:rPr>
          <w:b/>
          <w:i/>
          <w:color w:val="000000"/>
          <w:u w:val="single"/>
          <w:lang w:eastAsia="x-none"/>
        </w:rPr>
        <w:t xml:space="preserve"> </w:t>
      </w:r>
      <w:r w:rsidR="00545E81" w:rsidRPr="000274C7">
        <w:rPr>
          <w:b/>
          <w:i/>
          <w:color w:val="000000"/>
          <w:u w:val="single"/>
          <w:lang w:eastAsia="x-none"/>
        </w:rPr>
        <w:t>2,</w:t>
      </w:r>
      <w:r w:rsidR="00CF073C" w:rsidRPr="000274C7">
        <w:rPr>
          <w:b/>
          <w:i/>
          <w:color w:val="000000"/>
          <w:u w:val="single"/>
          <w:lang w:eastAsia="x-none"/>
        </w:rPr>
        <w:t xml:space="preserve"> </w:t>
      </w:r>
      <w:r w:rsidR="00545E81" w:rsidRPr="000274C7">
        <w:rPr>
          <w:b/>
          <w:i/>
          <w:color w:val="000000"/>
          <w:u w:val="single"/>
          <w:lang w:eastAsia="x-none"/>
        </w:rPr>
        <w:t xml:space="preserve">4} or PRB index </w:t>
      </w:r>
      <w:r w:rsidR="005E115D" w:rsidRPr="000274C7">
        <w:rPr>
          <w:b/>
          <w:i/>
          <w:color w:val="000000"/>
          <w:u w:val="single"/>
          <w:lang w:eastAsia="x-none"/>
        </w:rPr>
        <w:t xml:space="preserve">{0, 1, 2, …, 111} </w:t>
      </w:r>
      <w:r w:rsidR="00545E81" w:rsidRPr="000274C7">
        <w:rPr>
          <w:b/>
          <w:i/>
          <w:color w:val="000000"/>
          <w:u w:val="single"/>
          <w:lang w:eastAsia="x-none"/>
        </w:rPr>
        <w:t>can be used to decode information regarding in-band or guard-band operation mode.</w:t>
      </w:r>
    </w:p>
    <w:p w14:paraId="27D7C3B3" w14:textId="49295405" w:rsidR="005A2638" w:rsidRPr="006D5373" w:rsidRDefault="00A8367E" w:rsidP="006D5373">
      <w:pPr>
        <w:spacing w:before="120" w:after="240"/>
        <w:jc w:val="both"/>
        <w:rPr>
          <w:b/>
          <w:i/>
          <w:color w:val="000000"/>
          <w:u w:val="single"/>
          <w:lang w:eastAsia="x-none"/>
        </w:rPr>
      </w:pPr>
      <w:r w:rsidRPr="000274C7">
        <w:rPr>
          <w:b/>
          <w:i/>
          <w:color w:val="000000"/>
          <w:u w:val="single"/>
          <w:lang w:eastAsia="x-none"/>
        </w:rPr>
        <w:t>Proposal 4:</w:t>
      </w:r>
      <w:r w:rsidR="008E596D" w:rsidRPr="000274C7">
        <w:rPr>
          <w:b/>
          <w:i/>
          <w:color w:val="000000"/>
          <w:u w:val="single"/>
          <w:lang w:eastAsia="x-none"/>
        </w:rPr>
        <w:t xml:space="preserve"> The offsets resulting from channel raster can be indicated before </w:t>
      </w:r>
      <w:r w:rsidR="006D5373" w:rsidRPr="006D5373">
        <w:rPr>
          <w:b/>
          <w:i/>
          <w:color w:val="000000"/>
          <w:u w:val="single"/>
          <w:lang w:eastAsia="x-none"/>
        </w:rPr>
        <w:t xml:space="preserve">or as part of the SI message carrying </w:t>
      </w:r>
      <w:r w:rsidR="008E596D" w:rsidRPr="000274C7">
        <w:rPr>
          <w:b/>
          <w:i/>
          <w:color w:val="000000"/>
          <w:u w:val="single"/>
          <w:lang w:eastAsia="x-none"/>
        </w:rPr>
        <w:t xml:space="preserve">the EARFCN </w:t>
      </w:r>
      <w:r w:rsidR="00AF1D43" w:rsidRPr="000274C7">
        <w:rPr>
          <w:b/>
          <w:i/>
          <w:color w:val="000000"/>
          <w:u w:val="single"/>
          <w:lang w:eastAsia="x-none"/>
        </w:rPr>
        <w:t>for uplink, for e.g., NB-MIB, NB-SIB1, NB-SIB2 etc.</w:t>
      </w:r>
    </w:p>
    <w:p w14:paraId="71A713CE" w14:textId="77777777" w:rsidR="00802F63" w:rsidRPr="00181934" w:rsidRDefault="00802F63" w:rsidP="00802F63">
      <w:pPr>
        <w:pStyle w:val="Heading1"/>
        <w:numPr>
          <w:ilvl w:val="0"/>
          <w:numId w:val="3"/>
        </w:numPr>
        <w:rPr>
          <w:rFonts w:cs="Arial"/>
          <w:lang w:val="en-US" w:eastAsia="zh-CN"/>
        </w:rPr>
      </w:pPr>
      <w:r>
        <w:rPr>
          <w:rFonts w:cs="Arial"/>
          <w:lang w:val="en-US"/>
        </w:rPr>
        <w:t>Conclusions</w:t>
      </w:r>
    </w:p>
    <w:p w14:paraId="4B276509" w14:textId="6ABFD440" w:rsidR="003516BD" w:rsidRDefault="009843C5" w:rsidP="009239DE">
      <w:pPr>
        <w:rPr>
          <w:lang w:val="en-US"/>
        </w:rPr>
      </w:pPr>
      <w:r>
        <w:rPr>
          <w:lang w:val="en-US"/>
        </w:rPr>
        <w:t>In this document, we presented our views on indication of mode of operation and offsets from channel raster. The following are our observations and proposals.</w:t>
      </w:r>
    </w:p>
    <w:p w14:paraId="259DB4D6" w14:textId="2E2F39B4" w:rsidR="00C64FE6" w:rsidRDefault="00C64FE6" w:rsidP="00C64FE6">
      <w:pPr>
        <w:spacing w:after="200" w:line="276" w:lineRule="auto"/>
        <w:contextualSpacing/>
        <w:jc w:val="both"/>
        <w:rPr>
          <w:b/>
          <w:i/>
          <w:u w:val="single"/>
        </w:rPr>
      </w:pPr>
      <w:r>
        <w:rPr>
          <w:b/>
          <w:i/>
          <w:u w:val="single"/>
        </w:rPr>
        <w:t>Observations:</w:t>
      </w:r>
    </w:p>
    <w:p w14:paraId="2DD37E36" w14:textId="77777777" w:rsidR="00C64FE6" w:rsidRDefault="00C64FE6" w:rsidP="00C64FE6">
      <w:pPr>
        <w:spacing w:after="200" w:line="276" w:lineRule="auto"/>
        <w:contextualSpacing/>
        <w:jc w:val="both"/>
        <w:rPr>
          <w:b/>
          <w:i/>
          <w:u w:val="single"/>
        </w:rPr>
      </w:pPr>
      <w:r w:rsidRPr="000274C7">
        <w:rPr>
          <w:b/>
          <w:i/>
          <w:u w:val="single"/>
        </w:rPr>
        <w:t>Observation 1: The UE needs to be signalled the raster frequency offset from a small subset (0 kHz, +/-2.5 kHz, +/-7.kHz) for it to figure out the absolute frequency to camp on in addition to the mode of operation (i.e.,</w:t>
      </w:r>
      <w:r w:rsidRPr="000274C7">
        <w:rPr>
          <w:b/>
          <w:u w:val="single"/>
        </w:rPr>
        <w:t xml:space="preserve"> </w:t>
      </w:r>
      <w:r w:rsidRPr="000274C7">
        <w:rPr>
          <w:b/>
          <w:i/>
          <w:u w:val="single"/>
        </w:rPr>
        <w:t>standalone, guard-band or in-band)</w:t>
      </w:r>
    </w:p>
    <w:p w14:paraId="0409B64E" w14:textId="77777777" w:rsidR="00C64FE6" w:rsidRPr="000274C7" w:rsidRDefault="00C64FE6" w:rsidP="00C64FE6">
      <w:pPr>
        <w:spacing w:before="120" w:after="240"/>
        <w:jc w:val="both"/>
        <w:rPr>
          <w:b/>
          <w:i/>
          <w:color w:val="000000"/>
          <w:u w:val="single"/>
          <w:lang w:eastAsia="x-none"/>
        </w:rPr>
      </w:pPr>
      <w:r w:rsidRPr="000274C7">
        <w:rPr>
          <w:b/>
          <w:i/>
          <w:color w:val="000000"/>
          <w:u w:val="single"/>
          <w:lang w:eastAsia="x-none"/>
        </w:rPr>
        <w:t>Observation 2: The number of LTE antenna ports {0, 1, 2, 4} or PRB index {0, 1, 2, …, 111} can be used to decode information regarding in-band or guard-band operation mode.</w:t>
      </w:r>
    </w:p>
    <w:p w14:paraId="2D854D1F" w14:textId="77777777" w:rsidR="00441B8C" w:rsidRDefault="00441B8C" w:rsidP="00441B8C">
      <w:pPr>
        <w:spacing w:after="200" w:line="276" w:lineRule="auto"/>
        <w:contextualSpacing/>
        <w:jc w:val="both"/>
        <w:rPr>
          <w:b/>
          <w:i/>
          <w:u w:val="single"/>
        </w:rPr>
      </w:pPr>
      <w:r>
        <w:rPr>
          <w:b/>
          <w:i/>
          <w:u w:val="single"/>
        </w:rPr>
        <w:t>Proposals:</w:t>
      </w:r>
    </w:p>
    <w:p w14:paraId="5CD68A52" w14:textId="6DEC763A" w:rsidR="00441B8C" w:rsidRDefault="00441B8C" w:rsidP="00441B8C">
      <w:pPr>
        <w:spacing w:after="200" w:line="276" w:lineRule="auto"/>
        <w:contextualSpacing/>
        <w:jc w:val="both"/>
        <w:rPr>
          <w:b/>
          <w:i/>
          <w:u w:val="single"/>
        </w:rPr>
      </w:pPr>
      <w:r w:rsidRPr="000274C7">
        <w:rPr>
          <w:b/>
          <w:i/>
          <w:u w:val="single"/>
        </w:rPr>
        <w:t>Proposal 1: For minimizing device complexity resulting from cell search computations, it is recommended to only use the PRBs whose centers are +/-2.5 kHz and +/-7.5 kHz away from the LTE channel raster points (100 kHz raster) for in-band deployment.</w:t>
      </w:r>
    </w:p>
    <w:p w14:paraId="22706852" w14:textId="4BC965D1" w:rsidR="00441B8C" w:rsidRPr="000274C7" w:rsidRDefault="00441B8C" w:rsidP="00441B8C">
      <w:pPr>
        <w:jc w:val="both"/>
        <w:rPr>
          <w:rFonts w:eastAsiaTheme="minorEastAsia"/>
          <w:b/>
          <w:i/>
          <w:u w:val="single"/>
          <w:lang w:eastAsia="zh-CN"/>
        </w:rPr>
      </w:pPr>
      <w:r w:rsidRPr="000274C7">
        <w:rPr>
          <w:rFonts w:eastAsiaTheme="minorEastAsia"/>
          <w:b/>
          <w:i/>
          <w:u w:val="single"/>
          <w:lang w:eastAsia="zh-CN"/>
        </w:rPr>
        <w:t>Proposal 2: The NB-PSS should not be used to indicate all the information regarding mode of operation and frequency offsets resulting from the channel raster. If needed, NB-PSS sequence and its complex conjugate can be used to differentiate between standalone vs</w:t>
      </w:r>
      <w:r w:rsidR="006D5373">
        <w:rPr>
          <w:rFonts w:eastAsiaTheme="minorEastAsia"/>
          <w:b/>
          <w:i/>
          <w:u w:val="single"/>
          <w:lang w:eastAsia="zh-CN"/>
        </w:rPr>
        <w:t>.</w:t>
      </w:r>
      <w:bookmarkStart w:id="2" w:name="_GoBack"/>
      <w:bookmarkEnd w:id="2"/>
      <w:r w:rsidRPr="000274C7">
        <w:rPr>
          <w:rFonts w:eastAsiaTheme="minorEastAsia"/>
          <w:b/>
          <w:i/>
          <w:u w:val="single"/>
          <w:lang w:eastAsia="zh-CN"/>
        </w:rPr>
        <w:t xml:space="preserve"> guard-band/in-band.</w:t>
      </w:r>
    </w:p>
    <w:p w14:paraId="15B6D75B" w14:textId="77777777" w:rsidR="00441B8C" w:rsidRDefault="00441B8C" w:rsidP="00441B8C">
      <w:pPr>
        <w:spacing w:after="200" w:line="276" w:lineRule="auto"/>
        <w:contextualSpacing/>
        <w:jc w:val="both"/>
        <w:rPr>
          <w:b/>
          <w:i/>
          <w:u w:val="single"/>
        </w:rPr>
      </w:pPr>
    </w:p>
    <w:p w14:paraId="16276BDC" w14:textId="77777777" w:rsidR="00441B8C" w:rsidRDefault="00441B8C" w:rsidP="00441B8C">
      <w:pPr>
        <w:spacing w:after="200" w:line="276" w:lineRule="auto"/>
        <w:contextualSpacing/>
        <w:jc w:val="both"/>
        <w:rPr>
          <w:b/>
          <w:i/>
          <w:u w:val="single"/>
        </w:rPr>
      </w:pPr>
    </w:p>
    <w:p w14:paraId="7676049D" w14:textId="02446D72" w:rsidR="00441B8C" w:rsidRDefault="00441B8C" w:rsidP="00441B8C">
      <w:pPr>
        <w:jc w:val="both"/>
        <w:rPr>
          <w:b/>
          <w:i/>
          <w:u w:val="single"/>
        </w:rPr>
      </w:pPr>
      <w:r w:rsidRPr="000274C7">
        <w:rPr>
          <w:b/>
          <w:i/>
          <w:u w:val="single"/>
        </w:rPr>
        <w:lastRenderedPageBreak/>
        <w:t xml:space="preserve">Proposal 3. Using NB-SSS to indicate operation mode and/or channel raster offsets might lead to higher device complexity because of more number of hypotheses tests and is thus, not recommended.  </w:t>
      </w:r>
    </w:p>
    <w:p w14:paraId="12E3E4B3" w14:textId="77777777" w:rsidR="006D5373" w:rsidRPr="006D5373" w:rsidRDefault="006D5373" w:rsidP="006D5373">
      <w:pPr>
        <w:spacing w:before="120" w:after="240"/>
        <w:jc w:val="both"/>
        <w:rPr>
          <w:b/>
          <w:i/>
          <w:color w:val="000000"/>
          <w:u w:val="single"/>
          <w:lang w:eastAsia="x-none"/>
        </w:rPr>
      </w:pPr>
      <w:r w:rsidRPr="000274C7">
        <w:rPr>
          <w:b/>
          <w:i/>
          <w:color w:val="000000"/>
          <w:u w:val="single"/>
          <w:lang w:eastAsia="x-none"/>
        </w:rPr>
        <w:t xml:space="preserve">Proposal 4: The offsets resulting from channel raster can be indicated before </w:t>
      </w:r>
      <w:r w:rsidRPr="006D5373">
        <w:rPr>
          <w:b/>
          <w:i/>
          <w:color w:val="000000"/>
          <w:u w:val="single"/>
          <w:lang w:eastAsia="x-none"/>
        </w:rPr>
        <w:t xml:space="preserve">or as part of the SI message carrying </w:t>
      </w:r>
      <w:r w:rsidRPr="000274C7">
        <w:rPr>
          <w:b/>
          <w:i/>
          <w:color w:val="000000"/>
          <w:u w:val="single"/>
          <w:lang w:eastAsia="x-none"/>
        </w:rPr>
        <w:t>the EARFCN for uplink, for e.g., NB-MIB, NB-SIB1, NB-SIB2 etc.</w:t>
      </w:r>
    </w:p>
    <w:p w14:paraId="50EBCB8B" w14:textId="77777777" w:rsidR="00FD7001" w:rsidRPr="00181934" w:rsidRDefault="00577EB4" w:rsidP="00FD7001">
      <w:pPr>
        <w:pStyle w:val="Heading1"/>
        <w:pBdr>
          <w:top w:val="single" w:sz="12" w:space="4" w:color="auto"/>
        </w:pBdr>
        <w:ind w:left="0" w:firstLine="0"/>
        <w:rPr>
          <w:rFonts w:cs="Arial"/>
          <w:lang w:val="en-US" w:eastAsia="zh-CN"/>
        </w:rPr>
      </w:pPr>
      <w:r w:rsidRPr="00181934">
        <w:rPr>
          <w:rFonts w:cs="Arial"/>
          <w:lang w:val="en-US"/>
        </w:rPr>
        <w:t>References</w:t>
      </w:r>
    </w:p>
    <w:p w14:paraId="00EC7A60" w14:textId="287E14D9" w:rsidR="001F3DAB" w:rsidRDefault="00BD103F" w:rsidP="00E859AD">
      <w:pPr>
        <w:widowControl w:val="0"/>
        <w:numPr>
          <w:ilvl w:val="0"/>
          <w:numId w:val="2"/>
        </w:numPr>
        <w:overflowPunct/>
        <w:autoSpaceDE/>
        <w:autoSpaceDN/>
        <w:adjustRightInd/>
        <w:spacing w:after="120"/>
        <w:jc w:val="both"/>
        <w:textAlignment w:val="auto"/>
        <w:rPr>
          <w:lang w:val="en-US" w:eastAsia="zh-CN"/>
        </w:rPr>
      </w:pPr>
      <w:bookmarkStart w:id="3" w:name="_Ref440220396"/>
      <w:r>
        <w:rPr>
          <w:lang w:val="en-US" w:eastAsia="zh-CN"/>
        </w:rPr>
        <w:t xml:space="preserve">“RAN 1 </w:t>
      </w:r>
      <w:r w:rsidR="001F3DAB">
        <w:rPr>
          <w:lang w:val="en-US" w:eastAsia="zh-CN"/>
        </w:rPr>
        <w:t>Cha</w:t>
      </w:r>
      <w:r>
        <w:rPr>
          <w:lang w:val="en-US" w:eastAsia="zh-CN"/>
        </w:rPr>
        <w:t>i</w:t>
      </w:r>
      <w:r w:rsidR="002179B9">
        <w:rPr>
          <w:lang w:val="en-US" w:eastAsia="zh-CN"/>
        </w:rPr>
        <w:t>rma</w:t>
      </w:r>
      <w:r w:rsidR="001F3DAB">
        <w:rPr>
          <w:lang w:val="en-US" w:eastAsia="zh-CN"/>
        </w:rPr>
        <w:t>n notes</w:t>
      </w:r>
      <w:r>
        <w:rPr>
          <w:lang w:val="en-US" w:eastAsia="zh-CN"/>
        </w:rPr>
        <w:t xml:space="preserve">,” </w:t>
      </w:r>
      <w:r w:rsidRPr="00BD103F">
        <w:rPr>
          <w:lang w:val="en-US" w:eastAsia="zh-CN"/>
        </w:rPr>
        <w:t>3GPP TSG-RAN1 NB-IOT Ad Hoc</w:t>
      </w:r>
      <w:r>
        <w:rPr>
          <w:lang w:val="en-US" w:eastAsia="zh-CN"/>
        </w:rPr>
        <w:t xml:space="preserve">, </w:t>
      </w:r>
      <w:r w:rsidR="00F031B5">
        <w:rPr>
          <w:lang w:val="en-US" w:eastAsia="zh-CN"/>
        </w:rPr>
        <w:t xml:space="preserve">Budapest, Hungary, </w:t>
      </w:r>
      <w:r>
        <w:rPr>
          <w:lang w:val="en-US" w:eastAsia="zh-CN"/>
        </w:rPr>
        <w:t>Jan 2016.</w:t>
      </w:r>
    </w:p>
    <w:p w14:paraId="456831D3" w14:textId="31DD1C4F" w:rsidR="00405ED5" w:rsidRDefault="005301CB" w:rsidP="00E859AD">
      <w:pPr>
        <w:widowControl w:val="0"/>
        <w:numPr>
          <w:ilvl w:val="0"/>
          <w:numId w:val="2"/>
        </w:numPr>
        <w:overflowPunct/>
        <w:autoSpaceDE/>
        <w:autoSpaceDN/>
        <w:adjustRightInd/>
        <w:spacing w:after="120"/>
        <w:jc w:val="both"/>
        <w:textAlignment w:val="auto"/>
        <w:rPr>
          <w:lang w:val="en-US" w:eastAsia="zh-CN"/>
        </w:rPr>
      </w:pPr>
      <w:r>
        <w:rPr>
          <w:lang w:val="en-US" w:eastAsia="zh-CN"/>
        </w:rPr>
        <w:t xml:space="preserve">R1-160082, </w:t>
      </w:r>
      <w:r w:rsidR="00BD103F">
        <w:rPr>
          <w:lang w:val="en-US" w:eastAsia="zh-CN"/>
        </w:rPr>
        <w:t>“</w:t>
      </w:r>
      <w:r w:rsidR="00BD103F" w:rsidRPr="00BD103F">
        <w:rPr>
          <w:lang w:val="en-US" w:eastAsia="zh-CN"/>
        </w:rPr>
        <w:t>NB-IoT Channel Raster</w:t>
      </w:r>
      <w:r w:rsidR="00BD103F">
        <w:rPr>
          <w:lang w:val="en-US" w:eastAsia="zh-CN"/>
        </w:rPr>
        <w:t>,”</w:t>
      </w:r>
      <w:r w:rsidR="00BD103F" w:rsidRPr="00BD103F">
        <w:rPr>
          <w:lang w:val="en-US" w:eastAsia="zh-CN"/>
        </w:rPr>
        <w:t xml:space="preserve"> </w:t>
      </w:r>
      <w:r w:rsidR="00BD103F">
        <w:rPr>
          <w:lang w:val="en-US" w:eastAsia="zh-CN"/>
        </w:rPr>
        <w:t xml:space="preserve">Ericsson, </w:t>
      </w:r>
      <w:r w:rsidR="00BD103F" w:rsidRPr="00BD103F">
        <w:rPr>
          <w:lang w:val="en-US" w:eastAsia="zh-CN"/>
        </w:rPr>
        <w:t>3GPP TSG-RAN1 NB-IOT Ad Hoc</w:t>
      </w:r>
      <w:r w:rsidR="00BD103F">
        <w:rPr>
          <w:lang w:val="en-US" w:eastAsia="zh-CN"/>
        </w:rPr>
        <w:t xml:space="preserve">, </w:t>
      </w:r>
      <w:r w:rsidR="0089365B">
        <w:rPr>
          <w:lang w:val="en-US" w:eastAsia="zh-CN"/>
        </w:rPr>
        <w:t>Budapest, Hungary, Jan 2016.</w:t>
      </w:r>
    </w:p>
    <w:bookmarkEnd w:id="3"/>
    <w:p w14:paraId="6A22CA39" w14:textId="70555B37" w:rsidR="0035639A" w:rsidRDefault="005301CB" w:rsidP="00E859AD">
      <w:pPr>
        <w:widowControl w:val="0"/>
        <w:numPr>
          <w:ilvl w:val="0"/>
          <w:numId w:val="2"/>
        </w:numPr>
        <w:overflowPunct/>
        <w:autoSpaceDE/>
        <w:autoSpaceDN/>
        <w:adjustRightInd/>
        <w:spacing w:after="120"/>
        <w:jc w:val="both"/>
        <w:textAlignment w:val="auto"/>
        <w:rPr>
          <w:lang w:val="en-US" w:eastAsia="zh-CN"/>
        </w:rPr>
      </w:pPr>
      <w:r>
        <w:rPr>
          <w:lang w:val="en-US" w:eastAsia="zh-CN"/>
        </w:rPr>
        <w:t xml:space="preserve">R1-160187, </w:t>
      </w:r>
      <w:r w:rsidR="00F031B5">
        <w:rPr>
          <w:lang w:val="en-US" w:eastAsia="zh-CN"/>
        </w:rPr>
        <w:t>“</w:t>
      </w:r>
      <w:r w:rsidR="0089365B" w:rsidRPr="0089365B">
        <w:rPr>
          <w:lang w:val="en-US" w:eastAsia="zh-CN"/>
        </w:rPr>
        <w:t>NB-IoT Primary Synchronization Signal Design</w:t>
      </w:r>
      <w:r w:rsidR="0089365B">
        <w:rPr>
          <w:lang w:val="en-US" w:eastAsia="zh-CN"/>
        </w:rPr>
        <w:t xml:space="preserve">,” Intel Corporation, </w:t>
      </w:r>
      <w:r w:rsidR="0089365B" w:rsidRPr="00BD103F">
        <w:rPr>
          <w:lang w:val="en-US" w:eastAsia="zh-CN"/>
        </w:rPr>
        <w:t>3GPP TSG-RAN1 NB-IOT Ad Hoc</w:t>
      </w:r>
      <w:r w:rsidR="0089365B">
        <w:rPr>
          <w:lang w:val="en-US" w:eastAsia="zh-CN"/>
        </w:rPr>
        <w:t>, Budapest, Hungary, Jan 2016.</w:t>
      </w:r>
    </w:p>
    <w:p w14:paraId="6BE8FEE1" w14:textId="5EC4AFC2" w:rsidR="005301CB" w:rsidRDefault="005301CB" w:rsidP="00E859AD">
      <w:pPr>
        <w:widowControl w:val="0"/>
        <w:numPr>
          <w:ilvl w:val="0"/>
          <w:numId w:val="2"/>
        </w:numPr>
        <w:overflowPunct/>
        <w:autoSpaceDE/>
        <w:autoSpaceDN/>
        <w:adjustRightInd/>
        <w:spacing w:after="120"/>
        <w:jc w:val="both"/>
        <w:textAlignment w:val="auto"/>
        <w:rPr>
          <w:lang w:val="en-US" w:eastAsia="zh-CN"/>
        </w:rPr>
      </w:pPr>
      <w:r>
        <w:rPr>
          <w:lang w:val="en-US" w:eastAsia="zh-CN"/>
        </w:rPr>
        <w:t>R1-160411, “</w:t>
      </w:r>
      <w:r w:rsidRPr="005301CB">
        <w:rPr>
          <w:lang w:val="en-US" w:eastAsia="zh-CN"/>
        </w:rPr>
        <w:t>On NB-IoT Secondary Synchronization Signal Design</w:t>
      </w:r>
      <w:r>
        <w:rPr>
          <w:lang w:val="en-US" w:eastAsia="zh-CN"/>
        </w:rPr>
        <w:t xml:space="preserve">,” Intel Corporation, </w:t>
      </w:r>
      <w:r w:rsidR="00F47EB7" w:rsidRPr="00F47EB7">
        <w:rPr>
          <w:lang w:val="en-US" w:eastAsia="zh-CN"/>
        </w:rPr>
        <w:t>3GPP TSG RAN WG1 Meeting #84</w:t>
      </w:r>
      <w:r>
        <w:rPr>
          <w:lang w:val="en-US" w:eastAsia="zh-CN"/>
        </w:rPr>
        <w:t xml:space="preserve">, </w:t>
      </w:r>
      <w:r w:rsidR="00F47EB7">
        <w:rPr>
          <w:lang w:val="en-US" w:eastAsia="zh-CN"/>
        </w:rPr>
        <w:t>St Julian’s, Malta</w:t>
      </w:r>
      <w:r>
        <w:rPr>
          <w:lang w:val="en-US" w:eastAsia="zh-CN"/>
        </w:rPr>
        <w:t xml:space="preserve">, </w:t>
      </w:r>
      <w:r w:rsidR="00F47EB7">
        <w:rPr>
          <w:lang w:val="en-US" w:eastAsia="zh-CN"/>
        </w:rPr>
        <w:t>Feb</w:t>
      </w:r>
      <w:r>
        <w:rPr>
          <w:lang w:val="en-US" w:eastAsia="zh-CN"/>
        </w:rPr>
        <w:t xml:space="preserve"> 2016.</w:t>
      </w:r>
    </w:p>
    <w:p w14:paraId="28441E19" w14:textId="0957D0BD" w:rsidR="00911DFC" w:rsidRDefault="00A272B0" w:rsidP="00E859AD">
      <w:pPr>
        <w:widowControl w:val="0"/>
        <w:numPr>
          <w:ilvl w:val="0"/>
          <w:numId w:val="2"/>
        </w:numPr>
        <w:overflowPunct/>
        <w:autoSpaceDE/>
        <w:autoSpaceDN/>
        <w:adjustRightInd/>
        <w:spacing w:after="120"/>
        <w:jc w:val="both"/>
        <w:textAlignment w:val="auto"/>
        <w:rPr>
          <w:lang w:val="en-US" w:eastAsia="zh-CN"/>
        </w:rPr>
      </w:pPr>
      <w:r>
        <w:rPr>
          <w:lang w:val="en-US" w:eastAsia="zh-CN"/>
        </w:rPr>
        <w:t>R1-160115, “</w:t>
      </w:r>
      <w:r w:rsidRPr="00A272B0">
        <w:rPr>
          <w:lang w:val="en-US" w:eastAsia="zh-CN"/>
        </w:rPr>
        <w:t>NB-PSS and NB-SSS Design</w:t>
      </w:r>
      <w:r>
        <w:rPr>
          <w:lang w:val="en-US" w:eastAsia="zh-CN"/>
        </w:rPr>
        <w:t>,” Qualcomm Incorporated,</w:t>
      </w:r>
      <w:r w:rsidR="00911DFC">
        <w:rPr>
          <w:lang w:val="en-US" w:eastAsia="zh-CN"/>
        </w:rPr>
        <w:t xml:space="preserve"> </w:t>
      </w:r>
      <w:r w:rsidRPr="00BD103F">
        <w:rPr>
          <w:lang w:val="en-US" w:eastAsia="zh-CN"/>
        </w:rPr>
        <w:t>3GPP TSG-RAN1 NB-IOT Ad Hoc</w:t>
      </w:r>
      <w:r>
        <w:rPr>
          <w:lang w:val="en-US" w:eastAsia="zh-CN"/>
        </w:rPr>
        <w:t>, Budapest, Hungary, Jan 2016.</w:t>
      </w:r>
    </w:p>
    <w:p w14:paraId="283D5E80" w14:textId="48A1BD3B" w:rsidR="00327B3F" w:rsidRDefault="00327B3F" w:rsidP="00E859AD">
      <w:pPr>
        <w:widowControl w:val="0"/>
        <w:numPr>
          <w:ilvl w:val="0"/>
          <w:numId w:val="2"/>
        </w:numPr>
        <w:overflowPunct/>
        <w:autoSpaceDE/>
        <w:autoSpaceDN/>
        <w:adjustRightInd/>
        <w:spacing w:after="120"/>
        <w:jc w:val="both"/>
        <w:textAlignment w:val="auto"/>
        <w:rPr>
          <w:lang w:val="en-US" w:eastAsia="zh-CN"/>
        </w:rPr>
      </w:pPr>
      <w:r>
        <w:rPr>
          <w:lang w:val="en-US" w:eastAsia="zh-CN"/>
        </w:rPr>
        <w:t>R1-160405, “</w:t>
      </w:r>
      <w:r w:rsidR="007008AB" w:rsidRPr="007008AB">
        <w:rPr>
          <w:lang w:val="en-US" w:eastAsia="zh-CN"/>
        </w:rPr>
        <w:t>NB-PBCH Physical Channel Processing</w:t>
      </w:r>
      <w:r>
        <w:rPr>
          <w:lang w:val="en-US" w:eastAsia="zh-CN"/>
        </w:rPr>
        <w:t xml:space="preserve">,” Intel Corporation, </w:t>
      </w:r>
      <w:r w:rsidRPr="00F47EB7">
        <w:rPr>
          <w:lang w:val="en-US" w:eastAsia="zh-CN"/>
        </w:rPr>
        <w:t>3GPP TSG RAN WG1 Meeting #84</w:t>
      </w:r>
      <w:r>
        <w:rPr>
          <w:lang w:val="en-US" w:eastAsia="zh-CN"/>
        </w:rPr>
        <w:t>, St Julian’s, Malta, Feb 2016.</w:t>
      </w:r>
    </w:p>
    <w:p w14:paraId="53B4DDA0" w14:textId="77777777" w:rsidR="00181934" w:rsidRPr="00181934" w:rsidRDefault="00181934" w:rsidP="00181934">
      <w:pPr>
        <w:widowControl w:val="0"/>
        <w:overflowPunct/>
        <w:autoSpaceDE/>
        <w:autoSpaceDN/>
        <w:adjustRightInd/>
        <w:spacing w:after="120"/>
        <w:textAlignment w:val="auto"/>
        <w:rPr>
          <w:lang w:val="en-US" w:eastAsia="zh-CN"/>
        </w:rPr>
      </w:pPr>
    </w:p>
    <w:sectPr w:rsidR="00181934" w:rsidRPr="00181934"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A01C5" w14:textId="77777777" w:rsidR="003A1647" w:rsidRDefault="003A1647">
      <w:r>
        <w:separator/>
      </w:r>
    </w:p>
  </w:endnote>
  <w:endnote w:type="continuationSeparator" w:id="0">
    <w:p w14:paraId="2CE6F1C2" w14:textId="77777777" w:rsidR="003A1647" w:rsidRDefault="003A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0CC71" w14:textId="77777777" w:rsidR="004C50D3" w:rsidRDefault="004C50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AFCA84" w14:textId="77777777" w:rsidR="004C50D3" w:rsidRDefault="004C50D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5FE61" w14:textId="77777777" w:rsidR="004C50D3" w:rsidRDefault="004C50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D537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537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16860" w14:textId="77777777" w:rsidR="003A1647" w:rsidRDefault="003A1647">
      <w:r>
        <w:separator/>
      </w:r>
    </w:p>
  </w:footnote>
  <w:footnote w:type="continuationSeparator" w:id="0">
    <w:p w14:paraId="611CB973" w14:textId="77777777" w:rsidR="003A1647" w:rsidRDefault="003A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DB8D" w14:textId="77777777" w:rsidR="004C50D3" w:rsidRDefault="004C50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890D0D"/>
    <w:multiLevelType w:val="hybridMultilevel"/>
    <w:tmpl w:val="FB22F39C"/>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654E6"/>
    <w:multiLevelType w:val="hybridMultilevel"/>
    <w:tmpl w:val="895E6E2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B9B7BD8"/>
    <w:multiLevelType w:val="hybridMultilevel"/>
    <w:tmpl w:val="D8746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42E0"/>
    <w:multiLevelType w:val="hybridMultilevel"/>
    <w:tmpl w:val="898C2C20"/>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2D693C"/>
    <w:multiLevelType w:val="hybridMultilevel"/>
    <w:tmpl w:val="41000074"/>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562"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82320C"/>
    <w:multiLevelType w:val="hybridMultilevel"/>
    <w:tmpl w:val="650011C4"/>
    <w:lvl w:ilvl="0" w:tplc="5142E046">
      <w:start w:val="1228"/>
      <w:numFmt w:val="bullet"/>
      <w:lvlText w:val="–"/>
      <w:lvlJc w:val="left"/>
      <w:pPr>
        <w:tabs>
          <w:tab w:val="num" w:pos="360"/>
        </w:tabs>
        <w:ind w:left="360" w:hanging="360"/>
      </w:pPr>
      <w:rPr>
        <w:rFonts w:ascii="Arial" w:hAnsi="Aria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8" w15:restartNumberingAfterBreak="0">
    <w:nsid w:val="1C287100"/>
    <w:multiLevelType w:val="multilevel"/>
    <w:tmpl w:val="BF56F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177F27"/>
    <w:multiLevelType w:val="hybridMultilevel"/>
    <w:tmpl w:val="1404215E"/>
    <w:lvl w:ilvl="0" w:tplc="8774FF52">
      <w:numFmt w:val="bullet"/>
      <w:lvlText w:val="-"/>
      <w:lvlJc w:val="left"/>
      <w:pPr>
        <w:ind w:left="704" w:hanging="420"/>
      </w:pPr>
      <w:rPr>
        <w:rFonts w:ascii="Times" w:eastAsia="MS Mincho" w:hAnsi="Times" w:cs="Time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261B05"/>
    <w:multiLevelType w:val="hybridMultilevel"/>
    <w:tmpl w:val="F70E8E7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217835ED"/>
    <w:multiLevelType w:val="hybridMultilevel"/>
    <w:tmpl w:val="A5401340"/>
    <w:lvl w:ilvl="0" w:tplc="8774FF52">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239CF"/>
    <w:multiLevelType w:val="hybridMultilevel"/>
    <w:tmpl w:val="FCF028AA"/>
    <w:lvl w:ilvl="0" w:tplc="61DE0BA0">
      <w:start w:val="7"/>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5B7648"/>
    <w:multiLevelType w:val="hybridMultilevel"/>
    <w:tmpl w:val="E4B4544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AD7DCA"/>
    <w:multiLevelType w:val="multilevel"/>
    <w:tmpl w:val="F3906EE6"/>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1F53CF2"/>
    <w:multiLevelType w:val="hybridMultilevel"/>
    <w:tmpl w:val="AF4C8900"/>
    <w:lvl w:ilvl="0" w:tplc="E3305C58">
      <w:start w:val="1"/>
      <w:numFmt w:val="bullet"/>
      <w:lvlText w:val="•"/>
      <w:lvlJc w:val="left"/>
      <w:pPr>
        <w:tabs>
          <w:tab w:val="num" w:pos="720"/>
        </w:tabs>
        <w:ind w:left="720" w:hanging="360"/>
      </w:pPr>
      <w:rPr>
        <w:rFonts w:ascii="Arial" w:hAnsi="Arial" w:cs="Times New Roman" w:hint="default"/>
      </w:rPr>
    </w:lvl>
    <w:lvl w:ilvl="1" w:tplc="2918D690">
      <w:start w:val="1228"/>
      <w:numFmt w:val="bullet"/>
      <w:lvlText w:val="–"/>
      <w:lvlJc w:val="left"/>
      <w:pPr>
        <w:tabs>
          <w:tab w:val="num" w:pos="1440"/>
        </w:tabs>
        <w:ind w:left="1440" w:hanging="360"/>
      </w:pPr>
      <w:rPr>
        <w:rFonts w:ascii="Arial" w:hAnsi="Arial" w:cs="Times New Roman" w:hint="default"/>
      </w:rPr>
    </w:lvl>
    <w:lvl w:ilvl="2" w:tplc="D2C8CA5A">
      <w:start w:val="1228"/>
      <w:numFmt w:val="bullet"/>
      <w:lvlText w:val="•"/>
      <w:lvlJc w:val="left"/>
      <w:pPr>
        <w:tabs>
          <w:tab w:val="num" w:pos="2160"/>
        </w:tabs>
        <w:ind w:left="2160" w:hanging="360"/>
      </w:pPr>
      <w:rPr>
        <w:rFonts w:ascii="Arial" w:hAnsi="Arial" w:cs="Times New Roman" w:hint="default"/>
      </w:rPr>
    </w:lvl>
    <w:lvl w:ilvl="3" w:tplc="9D347D00">
      <w:start w:val="1228"/>
      <w:numFmt w:val="bullet"/>
      <w:lvlText w:val="–"/>
      <w:lvlJc w:val="left"/>
      <w:pPr>
        <w:tabs>
          <w:tab w:val="num" w:pos="2880"/>
        </w:tabs>
        <w:ind w:left="2880" w:hanging="360"/>
      </w:pPr>
      <w:rPr>
        <w:rFonts w:ascii="Arial" w:hAnsi="Arial" w:cs="Times New Roman" w:hint="default"/>
      </w:rPr>
    </w:lvl>
    <w:lvl w:ilvl="4" w:tplc="2E0604E2">
      <w:numFmt w:val="bullet"/>
      <w:lvlText w:val="-"/>
      <w:lvlJc w:val="left"/>
      <w:pPr>
        <w:ind w:left="3600" w:hanging="360"/>
      </w:pPr>
      <w:rPr>
        <w:rFonts w:ascii="Times" w:eastAsia="MS Mincho" w:hAnsi="Times" w:cs="Times New Roman" w:hint="default"/>
      </w:rPr>
    </w:lvl>
    <w:lvl w:ilvl="5" w:tplc="5088DE22">
      <w:start w:val="1"/>
      <w:numFmt w:val="bullet"/>
      <w:lvlText w:val="•"/>
      <w:lvlJc w:val="left"/>
      <w:pPr>
        <w:tabs>
          <w:tab w:val="num" w:pos="4320"/>
        </w:tabs>
        <w:ind w:left="4320" w:hanging="360"/>
      </w:pPr>
      <w:rPr>
        <w:rFonts w:ascii="Arial" w:hAnsi="Arial" w:cs="Times New Roman" w:hint="default"/>
      </w:rPr>
    </w:lvl>
    <w:lvl w:ilvl="6" w:tplc="6E9239C0">
      <w:start w:val="1"/>
      <w:numFmt w:val="bullet"/>
      <w:lvlText w:val="•"/>
      <w:lvlJc w:val="left"/>
      <w:pPr>
        <w:tabs>
          <w:tab w:val="num" w:pos="5040"/>
        </w:tabs>
        <w:ind w:left="5040" w:hanging="360"/>
      </w:pPr>
      <w:rPr>
        <w:rFonts w:ascii="Arial" w:hAnsi="Arial" w:cs="Times New Roman" w:hint="default"/>
      </w:rPr>
    </w:lvl>
    <w:lvl w:ilvl="7" w:tplc="DD189906">
      <w:start w:val="1"/>
      <w:numFmt w:val="bullet"/>
      <w:lvlText w:val="•"/>
      <w:lvlJc w:val="left"/>
      <w:pPr>
        <w:tabs>
          <w:tab w:val="num" w:pos="5760"/>
        </w:tabs>
        <w:ind w:left="5760" w:hanging="360"/>
      </w:pPr>
      <w:rPr>
        <w:rFonts w:ascii="Arial" w:hAnsi="Arial" w:cs="Times New Roman" w:hint="default"/>
      </w:rPr>
    </w:lvl>
    <w:lvl w:ilvl="8" w:tplc="25E0707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3F6226E"/>
    <w:multiLevelType w:val="hybridMultilevel"/>
    <w:tmpl w:val="5972E646"/>
    <w:lvl w:ilvl="0" w:tplc="0DF0EF5E">
      <w:start w:val="1"/>
      <w:numFmt w:val="bullet"/>
      <w:lvlText w:val="•"/>
      <w:lvlJc w:val="left"/>
      <w:pPr>
        <w:tabs>
          <w:tab w:val="num" w:pos="720"/>
        </w:tabs>
        <w:ind w:left="720" w:hanging="360"/>
      </w:pPr>
      <w:rPr>
        <w:rFonts w:ascii="Arial" w:hAnsi="Arial" w:cs="Times New Roman" w:hint="default"/>
      </w:rPr>
    </w:lvl>
    <w:lvl w:ilvl="1" w:tplc="87B00CF8">
      <w:start w:val="1"/>
      <w:numFmt w:val="bullet"/>
      <w:lvlText w:val="•"/>
      <w:lvlJc w:val="left"/>
      <w:pPr>
        <w:tabs>
          <w:tab w:val="num" w:pos="1440"/>
        </w:tabs>
        <w:ind w:left="1440" w:hanging="360"/>
      </w:pPr>
      <w:rPr>
        <w:rFonts w:ascii="Arial" w:hAnsi="Arial" w:cs="Times New Roman" w:hint="default"/>
      </w:rPr>
    </w:lvl>
    <w:lvl w:ilvl="2" w:tplc="DF0ED4DA">
      <w:start w:val="1"/>
      <w:numFmt w:val="bullet"/>
      <w:lvlText w:val="•"/>
      <w:lvlJc w:val="left"/>
      <w:pPr>
        <w:tabs>
          <w:tab w:val="num" w:pos="2160"/>
        </w:tabs>
        <w:ind w:left="2160" w:hanging="360"/>
      </w:pPr>
      <w:rPr>
        <w:rFonts w:ascii="Arial" w:hAnsi="Arial" w:cs="Times New Roman" w:hint="default"/>
      </w:rPr>
    </w:lvl>
    <w:lvl w:ilvl="3" w:tplc="5142E046">
      <w:start w:val="1228"/>
      <w:numFmt w:val="bullet"/>
      <w:lvlText w:val="–"/>
      <w:lvlJc w:val="left"/>
      <w:pPr>
        <w:tabs>
          <w:tab w:val="num" w:pos="2880"/>
        </w:tabs>
        <w:ind w:left="2880" w:hanging="360"/>
      </w:pPr>
      <w:rPr>
        <w:rFonts w:ascii="Arial" w:hAnsi="Arial" w:cs="Times New Roman" w:hint="default"/>
      </w:rPr>
    </w:lvl>
    <w:lvl w:ilvl="4" w:tplc="9FB0B0FC">
      <w:start w:val="1"/>
      <w:numFmt w:val="bullet"/>
      <w:lvlText w:val="•"/>
      <w:lvlJc w:val="left"/>
      <w:pPr>
        <w:tabs>
          <w:tab w:val="num" w:pos="3600"/>
        </w:tabs>
        <w:ind w:left="3600" w:hanging="360"/>
      </w:pPr>
      <w:rPr>
        <w:rFonts w:ascii="Arial" w:hAnsi="Arial" w:cs="Times New Roman" w:hint="default"/>
      </w:rPr>
    </w:lvl>
    <w:lvl w:ilvl="5" w:tplc="2564DC2A">
      <w:start w:val="1"/>
      <w:numFmt w:val="bullet"/>
      <w:lvlText w:val="•"/>
      <w:lvlJc w:val="left"/>
      <w:pPr>
        <w:tabs>
          <w:tab w:val="num" w:pos="4320"/>
        </w:tabs>
        <w:ind w:left="4320" w:hanging="360"/>
      </w:pPr>
      <w:rPr>
        <w:rFonts w:ascii="Arial" w:hAnsi="Arial" w:cs="Times New Roman" w:hint="default"/>
      </w:rPr>
    </w:lvl>
    <w:lvl w:ilvl="6" w:tplc="CF3232C0">
      <w:start w:val="1"/>
      <w:numFmt w:val="bullet"/>
      <w:lvlText w:val="•"/>
      <w:lvlJc w:val="left"/>
      <w:pPr>
        <w:tabs>
          <w:tab w:val="num" w:pos="5040"/>
        </w:tabs>
        <w:ind w:left="5040" w:hanging="360"/>
      </w:pPr>
      <w:rPr>
        <w:rFonts w:ascii="Arial" w:hAnsi="Arial" w:cs="Times New Roman" w:hint="default"/>
      </w:rPr>
    </w:lvl>
    <w:lvl w:ilvl="7" w:tplc="57C0B758">
      <w:start w:val="1"/>
      <w:numFmt w:val="bullet"/>
      <w:lvlText w:val="•"/>
      <w:lvlJc w:val="left"/>
      <w:pPr>
        <w:tabs>
          <w:tab w:val="num" w:pos="5760"/>
        </w:tabs>
        <w:ind w:left="5760" w:hanging="360"/>
      </w:pPr>
      <w:rPr>
        <w:rFonts w:ascii="Arial" w:hAnsi="Arial" w:cs="Times New Roman" w:hint="default"/>
      </w:rPr>
    </w:lvl>
    <w:lvl w:ilvl="8" w:tplc="3386FF4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5663684"/>
    <w:multiLevelType w:val="hybridMultilevel"/>
    <w:tmpl w:val="B93E1F36"/>
    <w:lvl w:ilvl="0" w:tplc="663EF7A8">
      <w:start w:val="1"/>
      <w:numFmt w:val="bullet"/>
      <w:lvlText w:val="-"/>
      <w:lvlJc w:val="left"/>
      <w:pPr>
        <w:ind w:left="1224" w:hanging="360"/>
      </w:pPr>
      <w:rPr>
        <w:rFonts w:ascii="Times New Roman" w:eastAsia="SimSun" w:hAnsi="Times New Roman" w:cs="Times New Roman" w:hint="default"/>
      </w:rPr>
    </w:lvl>
    <w:lvl w:ilvl="1" w:tplc="08090003">
      <w:start w:val="1"/>
      <w:numFmt w:val="bullet"/>
      <w:lvlText w:val="o"/>
      <w:lvlJc w:val="left"/>
      <w:pPr>
        <w:ind w:left="1704" w:hanging="420"/>
      </w:pPr>
      <w:rPr>
        <w:rFonts w:ascii="Courier New" w:hAnsi="Courier New" w:cs="Courier New"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0" w15:restartNumberingAfterBreak="0">
    <w:nsid w:val="35AC4D5C"/>
    <w:multiLevelType w:val="hybridMultilevel"/>
    <w:tmpl w:val="2370C340"/>
    <w:lvl w:ilvl="0" w:tplc="8774FF52">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66D324D"/>
    <w:multiLevelType w:val="hybridMultilevel"/>
    <w:tmpl w:val="D4185820"/>
    <w:lvl w:ilvl="0" w:tplc="5DB8DB3A">
      <w:start w:val="1"/>
      <w:numFmt w:val="bullet"/>
      <w:lvlText w:val="•"/>
      <w:lvlJc w:val="left"/>
      <w:pPr>
        <w:tabs>
          <w:tab w:val="num" w:pos="720"/>
        </w:tabs>
        <w:ind w:left="720" w:hanging="360"/>
      </w:pPr>
      <w:rPr>
        <w:rFonts w:ascii="SimSun" w:hAnsi="SimSun" w:hint="default"/>
      </w:rPr>
    </w:lvl>
    <w:lvl w:ilvl="1" w:tplc="02329E5A" w:tentative="1">
      <w:start w:val="1"/>
      <w:numFmt w:val="bullet"/>
      <w:lvlText w:val="•"/>
      <w:lvlJc w:val="left"/>
      <w:pPr>
        <w:tabs>
          <w:tab w:val="num" w:pos="1440"/>
        </w:tabs>
        <w:ind w:left="1440" w:hanging="360"/>
      </w:pPr>
      <w:rPr>
        <w:rFonts w:ascii="SimSun" w:hAnsi="SimSun" w:hint="default"/>
      </w:rPr>
    </w:lvl>
    <w:lvl w:ilvl="2" w:tplc="7068C038" w:tentative="1">
      <w:start w:val="1"/>
      <w:numFmt w:val="bullet"/>
      <w:lvlText w:val="•"/>
      <w:lvlJc w:val="left"/>
      <w:pPr>
        <w:tabs>
          <w:tab w:val="num" w:pos="2160"/>
        </w:tabs>
        <w:ind w:left="2160" w:hanging="360"/>
      </w:pPr>
      <w:rPr>
        <w:rFonts w:ascii="SimSun" w:hAnsi="SimSun" w:hint="default"/>
      </w:rPr>
    </w:lvl>
    <w:lvl w:ilvl="3" w:tplc="B5425AB8" w:tentative="1">
      <w:start w:val="1"/>
      <w:numFmt w:val="bullet"/>
      <w:lvlText w:val="•"/>
      <w:lvlJc w:val="left"/>
      <w:pPr>
        <w:tabs>
          <w:tab w:val="num" w:pos="2880"/>
        </w:tabs>
        <w:ind w:left="2880" w:hanging="360"/>
      </w:pPr>
      <w:rPr>
        <w:rFonts w:ascii="SimSun" w:hAnsi="SimSun" w:hint="default"/>
      </w:rPr>
    </w:lvl>
    <w:lvl w:ilvl="4" w:tplc="DC844886" w:tentative="1">
      <w:start w:val="1"/>
      <w:numFmt w:val="bullet"/>
      <w:lvlText w:val="•"/>
      <w:lvlJc w:val="left"/>
      <w:pPr>
        <w:tabs>
          <w:tab w:val="num" w:pos="3600"/>
        </w:tabs>
        <w:ind w:left="3600" w:hanging="360"/>
      </w:pPr>
      <w:rPr>
        <w:rFonts w:ascii="SimSun" w:hAnsi="SimSun" w:hint="default"/>
      </w:rPr>
    </w:lvl>
    <w:lvl w:ilvl="5" w:tplc="AEC8D05C" w:tentative="1">
      <w:start w:val="1"/>
      <w:numFmt w:val="bullet"/>
      <w:lvlText w:val="•"/>
      <w:lvlJc w:val="left"/>
      <w:pPr>
        <w:tabs>
          <w:tab w:val="num" w:pos="4320"/>
        </w:tabs>
        <w:ind w:left="4320" w:hanging="360"/>
      </w:pPr>
      <w:rPr>
        <w:rFonts w:ascii="SimSun" w:hAnsi="SimSun" w:hint="default"/>
      </w:rPr>
    </w:lvl>
    <w:lvl w:ilvl="6" w:tplc="064CE8E2" w:tentative="1">
      <w:start w:val="1"/>
      <w:numFmt w:val="bullet"/>
      <w:lvlText w:val="•"/>
      <w:lvlJc w:val="left"/>
      <w:pPr>
        <w:tabs>
          <w:tab w:val="num" w:pos="5040"/>
        </w:tabs>
        <w:ind w:left="5040" w:hanging="360"/>
      </w:pPr>
      <w:rPr>
        <w:rFonts w:ascii="SimSun" w:hAnsi="SimSun" w:hint="default"/>
      </w:rPr>
    </w:lvl>
    <w:lvl w:ilvl="7" w:tplc="C0AE61A4" w:tentative="1">
      <w:start w:val="1"/>
      <w:numFmt w:val="bullet"/>
      <w:lvlText w:val="•"/>
      <w:lvlJc w:val="left"/>
      <w:pPr>
        <w:tabs>
          <w:tab w:val="num" w:pos="5760"/>
        </w:tabs>
        <w:ind w:left="5760" w:hanging="360"/>
      </w:pPr>
      <w:rPr>
        <w:rFonts w:ascii="SimSun" w:hAnsi="SimSun" w:hint="default"/>
      </w:rPr>
    </w:lvl>
    <w:lvl w:ilvl="8" w:tplc="61F6AD02"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39DF6EAB"/>
    <w:multiLevelType w:val="hybridMultilevel"/>
    <w:tmpl w:val="5660093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B3219B"/>
    <w:multiLevelType w:val="hybridMultilevel"/>
    <w:tmpl w:val="24262F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F1F4E02"/>
    <w:multiLevelType w:val="hybridMultilevel"/>
    <w:tmpl w:val="BD2A6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7B4B95"/>
    <w:multiLevelType w:val="hybridMultilevel"/>
    <w:tmpl w:val="ACBE72C2"/>
    <w:lvl w:ilvl="0" w:tplc="04090001">
      <w:start w:val="1"/>
      <w:numFmt w:val="bullet"/>
      <w:lvlText w:val=""/>
      <w:lvlJc w:val="left"/>
      <w:pPr>
        <w:ind w:left="708" w:hanging="420"/>
      </w:pPr>
      <w:rPr>
        <w:rFonts w:ascii="Symbol" w:hAnsi="Symbol" w:hint="default"/>
      </w:rPr>
    </w:lvl>
    <w:lvl w:ilvl="1" w:tplc="04090001">
      <w:start w:val="1"/>
      <w:numFmt w:val="bullet"/>
      <w:lvlText w:val=""/>
      <w:lvlJc w:val="left"/>
      <w:pPr>
        <w:ind w:left="1128" w:hanging="420"/>
      </w:pPr>
      <w:rPr>
        <w:rFonts w:ascii="Symbol" w:hAnsi="Symbol" w:hint="default"/>
      </w:rPr>
    </w:lvl>
    <w:lvl w:ilvl="2" w:tplc="4AFAC1F0">
      <w:start w:val="2567"/>
      <w:numFmt w:val="bullet"/>
      <w:lvlText w:val="»"/>
      <w:lvlJc w:val="left"/>
      <w:pPr>
        <w:ind w:left="1548" w:hanging="420"/>
      </w:pPr>
      <w:rPr>
        <w:rFonts w:ascii="Times New Roman" w:hAnsi="Times New Roman" w:hint="default"/>
      </w:rPr>
    </w:lvl>
    <w:lvl w:ilvl="3" w:tplc="04090001">
      <w:start w:val="1"/>
      <w:numFmt w:val="bullet"/>
      <w:lvlText w:val=""/>
      <w:lvlJc w:val="left"/>
      <w:pPr>
        <w:ind w:left="1968" w:hanging="420"/>
      </w:pPr>
      <w:rPr>
        <w:rFonts w:ascii="Symbol" w:hAnsi="Symbol" w:hint="default"/>
      </w:rPr>
    </w:lvl>
    <w:lvl w:ilvl="4" w:tplc="04090003">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45EE0075"/>
    <w:multiLevelType w:val="hybridMultilevel"/>
    <w:tmpl w:val="8AC41586"/>
    <w:lvl w:ilvl="0" w:tplc="087823F6">
      <w:start w:val="1"/>
      <w:numFmt w:val="bullet"/>
      <w:lvlText w:val="–"/>
      <w:lvlJc w:val="left"/>
      <w:pPr>
        <w:tabs>
          <w:tab w:val="num" w:pos="720"/>
        </w:tabs>
        <w:ind w:left="720" w:hanging="360"/>
      </w:pPr>
      <w:rPr>
        <w:rFonts w:ascii="SimSun" w:hAnsi="SimSun" w:hint="default"/>
      </w:rPr>
    </w:lvl>
    <w:lvl w:ilvl="1" w:tplc="D622641A">
      <w:start w:val="1"/>
      <w:numFmt w:val="bullet"/>
      <w:lvlText w:val="–"/>
      <w:lvlJc w:val="left"/>
      <w:pPr>
        <w:tabs>
          <w:tab w:val="num" w:pos="1440"/>
        </w:tabs>
        <w:ind w:left="1440" w:hanging="360"/>
      </w:pPr>
      <w:rPr>
        <w:rFonts w:ascii="SimSun" w:hAnsi="SimSun" w:hint="default"/>
      </w:rPr>
    </w:lvl>
    <w:lvl w:ilvl="2" w:tplc="C45214E8" w:tentative="1">
      <w:start w:val="1"/>
      <w:numFmt w:val="bullet"/>
      <w:lvlText w:val="–"/>
      <w:lvlJc w:val="left"/>
      <w:pPr>
        <w:tabs>
          <w:tab w:val="num" w:pos="2160"/>
        </w:tabs>
        <w:ind w:left="2160" w:hanging="360"/>
      </w:pPr>
      <w:rPr>
        <w:rFonts w:ascii="SimSun" w:hAnsi="SimSun" w:hint="default"/>
      </w:rPr>
    </w:lvl>
    <w:lvl w:ilvl="3" w:tplc="70A6FBE4" w:tentative="1">
      <w:start w:val="1"/>
      <w:numFmt w:val="bullet"/>
      <w:lvlText w:val="–"/>
      <w:lvlJc w:val="left"/>
      <w:pPr>
        <w:tabs>
          <w:tab w:val="num" w:pos="2880"/>
        </w:tabs>
        <w:ind w:left="2880" w:hanging="360"/>
      </w:pPr>
      <w:rPr>
        <w:rFonts w:ascii="SimSun" w:hAnsi="SimSun" w:hint="default"/>
      </w:rPr>
    </w:lvl>
    <w:lvl w:ilvl="4" w:tplc="E4C262D2" w:tentative="1">
      <w:start w:val="1"/>
      <w:numFmt w:val="bullet"/>
      <w:lvlText w:val="–"/>
      <w:lvlJc w:val="left"/>
      <w:pPr>
        <w:tabs>
          <w:tab w:val="num" w:pos="3600"/>
        </w:tabs>
        <w:ind w:left="3600" w:hanging="360"/>
      </w:pPr>
      <w:rPr>
        <w:rFonts w:ascii="SimSun" w:hAnsi="SimSun" w:hint="default"/>
      </w:rPr>
    </w:lvl>
    <w:lvl w:ilvl="5" w:tplc="7C3C8E60" w:tentative="1">
      <w:start w:val="1"/>
      <w:numFmt w:val="bullet"/>
      <w:lvlText w:val="–"/>
      <w:lvlJc w:val="left"/>
      <w:pPr>
        <w:tabs>
          <w:tab w:val="num" w:pos="4320"/>
        </w:tabs>
        <w:ind w:left="4320" w:hanging="360"/>
      </w:pPr>
      <w:rPr>
        <w:rFonts w:ascii="SimSun" w:hAnsi="SimSun" w:hint="default"/>
      </w:rPr>
    </w:lvl>
    <w:lvl w:ilvl="6" w:tplc="604493FC" w:tentative="1">
      <w:start w:val="1"/>
      <w:numFmt w:val="bullet"/>
      <w:lvlText w:val="–"/>
      <w:lvlJc w:val="left"/>
      <w:pPr>
        <w:tabs>
          <w:tab w:val="num" w:pos="5040"/>
        </w:tabs>
        <w:ind w:left="5040" w:hanging="360"/>
      </w:pPr>
      <w:rPr>
        <w:rFonts w:ascii="SimSun" w:hAnsi="SimSun" w:hint="default"/>
      </w:rPr>
    </w:lvl>
    <w:lvl w:ilvl="7" w:tplc="9FB8D5B0" w:tentative="1">
      <w:start w:val="1"/>
      <w:numFmt w:val="bullet"/>
      <w:lvlText w:val="–"/>
      <w:lvlJc w:val="left"/>
      <w:pPr>
        <w:tabs>
          <w:tab w:val="num" w:pos="5760"/>
        </w:tabs>
        <w:ind w:left="5760" w:hanging="360"/>
      </w:pPr>
      <w:rPr>
        <w:rFonts w:ascii="SimSun" w:hAnsi="SimSun" w:hint="default"/>
      </w:rPr>
    </w:lvl>
    <w:lvl w:ilvl="8" w:tplc="43464BFA"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4BAD7353"/>
    <w:multiLevelType w:val="hybridMultilevel"/>
    <w:tmpl w:val="48B2599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C884808"/>
    <w:multiLevelType w:val="hybridMultilevel"/>
    <w:tmpl w:val="7E8C1DB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636EB0"/>
    <w:multiLevelType w:val="hybridMultilevel"/>
    <w:tmpl w:val="611CE6F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D572B7"/>
    <w:multiLevelType w:val="hybridMultilevel"/>
    <w:tmpl w:val="FB6CFCBA"/>
    <w:lvl w:ilvl="0" w:tplc="0E7E334A">
      <w:start w:val="1"/>
      <w:numFmt w:val="bullet"/>
      <w:lvlText w:val="-"/>
      <w:lvlJc w:val="left"/>
      <w:pPr>
        <w:ind w:left="720" w:hanging="360"/>
      </w:pPr>
      <w:rPr>
        <w:rFonts w:ascii="Times" w:eastAsia="SimSu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B63ED"/>
    <w:multiLevelType w:val="hybridMultilevel"/>
    <w:tmpl w:val="92B47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325181"/>
    <w:multiLevelType w:val="multilevel"/>
    <w:tmpl w:val="27FA2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E84603"/>
    <w:multiLevelType w:val="hybridMultilevel"/>
    <w:tmpl w:val="98F8FD50"/>
    <w:lvl w:ilvl="0" w:tplc="EA567340">
      <w:start w:val="1"/>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24156D"/>
    <w:multiLevelType w:val="hybridMultilevel"/>
    <w:tmpl w:val="6C42B806"/>
    <w:lvl w:ilvl="0" w:tplc="6E32F286">
      <w:start w:val="1"/>
      <w:numFmt w:val="bullet"/>
      <w:lvlText w:val="•"/>
      <w:lvlJc w:val="left"/>
      <w:pPr>
        <w:tabs>
          <w:tab w:val="num" w:pos="720"/>
        </w:tabs>
        <w:ind w:left="720" w:hanging="360"/>
      </w:pPr>
      <w:rPr>
        <w:rFonts w:ascii="Arial" w:hAnsi="Arial" w:cs="Times New Roman" w:hint="default"/>
      </w:rPr>
    </w:lvl>
    <w:lvl w:ilvl="1" w:tplc="C13238B6">
      <w:start w:val="1040"/>
      <w:numFmt w:val="bullet"/>
      <w:lvlText w:val="–"/>
      <w:lvlJc w:val="left"/>
      <w:pPr>
        <w:tabs>
          <w:tab w:val="num" w:pos="1440"/>
        </w:tabs>
        <w:ind w:left="1440" w:hanging="360"/>
      </w:pPr>
      <w:rPr>
        <w:rFonts w:ascii="Arial" w:hAnsi="Arial" w:cs="Times New Roman" w:hint="default"/>
      </w:rPr>
    </w:lvl>
    <w:lvl w:ilvl="2" w:tplc="0BA065E2">
      <w:start w:val="1"/>
      <w:numFmt w:val="bullet"/>
      <w:lvlText w:val="•"/>
      <w:lvlJc w:val="left"/>
      <w:pPr>
        <w:tabs>
          <w:tab w:val="num" w:pos="2160"/>
        </w:tabs>
        <w:ind w:left="2160" w:hanging="360"/>
      </w:pPr>
      <w:rPr>
        <w:rFonts w:ascii="Arial" w:hAnsi="Arial" w:cs="Times New Roman" w:hint="default"/>
      </w:rPr>
    </w:lvl>
    <w:lvl w:ilvl="3" w:tplc="EB84DE86">
      <w:start w:val="1"/>
      <w:numFmt w:val="bullet"/>
      <w:lvlText w:val="•"/>
      <w:lvlJc w:val="left"/>
      <w:pPr>
        <w:tabs>
          <w:tab w:val="num" w:pos="2880"/>
        </w:tabs>
        <w:ind w:left="2880" w:hanging="360"/>
      </w:pPr>
      <w:rPr>
        <w:rFonts w:ascii="Arial" w:hAnsi="Arial" w:cs="Times New Roman" w:hint="default"/>
      </w:rPr>
    </w:lvl>
    <w:lvl w:ilvl="4" w:tplc="40E609C6">
      <w:start w:val="1"/>
      <w:numFmt w:val="bullet"/>
      <w:lvlText w:val="•"/>
      <w:lvlJc w:val="left"/>
      <w:pPr>
        <w:tabs>
          <w:tab w:val="num" w:pos="3600"/>
        </w:tabs>
        <w:ind w:left="3600" w:hanging="360"/>
      </w:pPr>
      <w:rPr>
        <w:rFonts w:ascii="Arial" w:hAnsi="Arial" w:cs="Times New Roman" w:hint="default"/>
      </w:rPr>
    </w:lvl>
    <w:lvl w:ilvl="5" w:tplc="32703BE6">
      <w:start w:val="1"/>
      <w:numFmt w:val="bullet"/>
      <w:lvlText w:val="•"/>
      <w:lvlJc w:val="left"/>
      <w:pPr>
        <w:tabs>
          <w:tab w:val="num" w:pos="4320"/>
        </w:tabs>
        <w:ind w:left="4320" w:hanging="360"/>
      </w:pPr>
      <w:rPr>
        <w:rFonts w:ascii="Arial" w:hAnsi="Arial" w:cs="Times New Roman" w:hint="default"/>
      </w:rPr>
    </w:lvl>
    <w:lvl w:ilvl="6" w:tplc="4B0CA402">
      <w:start w:val="1"/>
      <w:numFmt w:val="bullet"/>
      <w:lvlText w:val="•"/>
      <w:lvlJc w:val="left"/>
      <w:pPr>
        <w:tabs>
          <w:tab w:val="num" w:pos="5040"/>
        </w:tabs>
        <w:ind w:left="5040" w:hanging="360"/>
      </w:pPr>
      <w:rPr>
        <w:rFonts w:ascii="Arial" w:hAnsi="Arial" w:cs="Times New Roman" w:hint="default"/>
      </w:rPr>
    </w:lvl>
    <w:lvl w:ilvl="7" w:tplc="8E8E840A">
      <w:start w:val="1"/>
      <w:numFmt w:val="bullet"/>
      <w:lvlText w:val="•"/>
      <w:lvlJc w:val="left"/>
      <w:pPr>
        <w:tabs>
          <w:tab w:val="num" w:pos="5760"/>
        </w:tabs>
        <w:ind w:left="5760" w:hanging="360"/>
      </w:pPr>
      <w:rPr>
        <w:rFonts w:ascii="Arial" w:hAnsi="Arial" w:cs="Times New Roman" w:hint="default"/>
      </w:rPr>
    </w:lvl>
    <w:lvl w:ilvl="8" w:tplc="FCC0E46A">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4C528E3"/>
    <w:multiLevelType w:val="hybridMultilevel"/>
    <w:tmpl w:val="8F9E35C0"/>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81073C4"/>
    <w:multiLevelType w:val="hybridMultilevel"/>
    <w:tmpl w:val="D0F042EC"/>
    <w:lvl w:ilvl="0" w:tplc="B17C5E08">
      <w:start w:val="1"/>
      <w:numFmt w:val="bullet"/>
      <w:lvlText w:val="-"/>
      <w:lvlJc w:val="left"/>
      <w:pPr>
        <w:tabs>
          <w:tab w:val="num" w:pos="720"/>
        </w:tabs>
        <w:ind w:left="720" w:hanging="360"/>
      </w:pPr>
      <w:rPr>
        <w:rFonts w:ascii="SimSun" w:hAnsi="SimSun" w:hint="default"/>
      </w:rPr>
    </w:lvl>
    <w:lvl w:ilvl="1" w:tplc="EAFEBCA2" w:tentative="1">
      <w:start w:val="1"/>
      <w:numFmt w:val="bullet"/>
      <w:lvlText w:val="-"/>
      <w:lvlJc w:val="left"/>
      <w:pPr>
        <w:tabs>
          <w:tab w:val="num" w:pos="1440"/>
        </w:tabs>
        <w:ind w:left="1440" w:hanging="360"/>
      </w:pPr>
      <w:rPr>
        <w:rFonts w:ascii="SimSun" w:hAnsi="SimSun" w:hint="default"/>
      </w:rPr>
    </w:lvl>
    <w:lvl w:ilvl="2" w:tplc="02C6C464" w:tentative="1">
      <w:start w:val="1"/>
      <w:numFmt w:val="bullet"/>
      <w:lvlText w:val="-"/>
      <w:lvlJc w:val="left"/>
      <w:pPr>
        <w:tabs>
          <w:tab w:val="num" w:pos="2160"/>
        </w:tabs>
        <w:ind w:left="2160" w:hanging="360"/>
      </w:pPr>
      <w:rPr>
        <w:rFonts w:ascii="SimSun" w:hAnsi="SimSun" w:hint="default"/>
      </w:rPr>
    </w:lvl>
    <w:lvl w:ilvl="3" w:tplc="A8AC781A">
      <w:start w:val="1"/>
      <w:numFmt w:val="bullet"/>
      <w:lvlText w:val="-"/>
      <w:lvlJc w:val="left"/>
      <w:pPr>
        <w:tabs>
          <w:tab w:val="num" w:pos="2880"/>
        </w:tabs>
        <w:ind w:left="2880" w:hanging="360"/>
      </w:pPr>
      <w:rPr>
        <w:rFonts w:ascii="SimSun" w:hAnsi="SimSun" w:hint="default"/>
      </w:rPr>
    </w:lvl>
    <w:lvl w:ilvl="4" w:tplc="1AB6FF80" w:tentative="1">
      <w:start w:val="1"/>
      <w:numFmt w:val="bullet"/>
      <w:lvlText w:val="-"/>
      <w:lvlJc w:val="left"/>
      <w:pPr>
        <w:tabs>
          <w:tab w:val="num" w:pos="3600"/>
        </w:tabs>
        <w:ind w:left="3600" w:hanging="360"/>
      </w:pPr>
      <w:rPr>
        <w:rFonts w:ascii="SimSun" w:hAnsi="SimSun" w:hint="default"/>
      </w:rPr>
    </w:lvl>
    <w:lvl w:ilvl="5" w:tplc="80E0A612" w:tentative="1">
      <w:start w:val="1"/>
      <w:numFmt w:val="bullet"/>
      <w:lvlText w:val="-"/>
      <w:lvlJc w:val="left"/>
      <w:pPr>
        <w:tabs>
          <w:tab w:val="num" w:pos="4320"/>
        </w:tabs>
        <w:ind w:left="4320" w:hanging="360"/>
      </w:pPr>
      <w:rPr>
        <w:rFonts w:ascii="SimSun" w:hAnsi="SimSun" w:hint="default"/>
      </w:rPr>
    </w:lvl>
    <w:lvl w:ilvl="6" w:tplc="6EFE889E" w:tentative="1">
      <w:start w:val="1"/>
      <w:numFmt w:val="bullet"/>
      <w:lvlText w:val="-"/>
      <w:lvlJc w:val="left"/>
      <w:pPr>
        <w:tabs>
          <w:tab w:val="num" w:pos="5040"/>
        </w:tabs>
        <w:ind w:left="5040" w:hanging="360"/>
      </w:pPr>
      <w:rPr>
        <w:rFonts w:ascii="SimSun" w:hAnsi="SimSun" w:hint="default"/>
      </w:rPr>
    </w:lvl>
    <w:lvl w:ilvl="7" w:tplc="91F6FD06" w:tentative="1">
      <w:start w:val="1"/>
      <w:numFmt w:val="bullet"/>
      <w:lvlText w:val="-"/>
      <w:lvlJc w:val="left"/>
      <w:pPr>
        <w:tabs>
          <w:tab w:val="num" w:pos="5760"/>
        </w:tabs>
        <w:ind w:left="5760" w:hanging="360"/>
      </w:pPr>
      <w:rPr>
        <w:rFonts w:ascii="SimSun" w:hAnsi="SimSun" w:hint="default"/>
      </w:rPr>
    </w:lvl>
    <w:lvl w:ilvl="8" w:tplc="9508BEE4" w:tentative="1">
      <w:start w:val="1"/>
      <w:numFmt w:val="bullet"/>
      <w:lvlText w:val="-"/>
      <w:lvlJc w:val="left"/>
      <w:pPr>
        <w:tabs>
          <w:tab w:val="num" w:pos="6480"/>
        </w:tabs>
        <w:ind w:left="6480" w:hanging="360"/>
      </w:pPr>
      <w:rPr>
        <w:rFonts w:ascii="SimSun" w:hAnsi="SimSun" w:hint="default"/>
      </w:rPr>
    </w:lvl>
  </w:abstractNum>
  <w:abstractNum w:abstractNumId="37" w15:restartNumberingAfterBreak="0">
    <w:nsid w:val="695E0512"/>
    <w:multiLevelType w:val="hybridMultilevel"/>
    <w:tmpl w:val="40D6C630"/>
    <w:lvl w:ilvl="0" w:tplc="CF68586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A048F1"/>
    <w:multiLevelType w:val="hybridMultilevel"/>
    <w:tmpl w:val="2402A91A"/>
    <w:lvl w:ilvl="0" w:tplc="04090001">
      <w:start w:val="1"/>
      <w:numFmt w:val="bullet"/>
      <w:lvlText w:val=""/>
      <w:lvlJc w:val="left"/>
      <w:pPr>
        <w:ind w:left="760" w:hanging="360"/>
      </w:pPr>
      <w:rPr>
        <w:rFonts w:ascii="Symbol" w:hAnsi="Symbol"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9" w15:restartNumberingAfterBreak="0">
    <w:nsid w:val="74ED712C"/>
    <w:multiLevelType w:val="hybridMultilevel"/>
    <w:tmpl w:val="7EE80C38"/>
    <w:lvl w:ilvl="0" w:tplc="6F625C3E">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71D6B77C">
      <w:start w:val="1"/>
      <w:numFmt w:val="bullet"/>
      <w:lvlText w:val="•"/>
      <w:lvlJc w:val="left"/>
      <w:pPr>
        <w:tabs>
          <w:tab w:val="num" w:pos="2160"/>
        </w:tabs>
        <w:ind w:left="2160" w:hanging="360"/>
      </w:pPr>
      <w:rPr>
        <w:rFonts w:ascii="Times New Roman" w:hAnsi="Times New Roman" w:hint="default"/>
      </w:rPr>
    </w:lvl>
    <w:lvl w:ilvl="3" w:tplc="C13EEE50" w:tentative="1">
      <w:start w:val="1"/>
      <w:numFmt w:val="bullet"/>
      <w:lvlText w:val="•"/>
      <w:lvlJc w:val="left"/>
      <w:pPr>
        <w:tabs>
          <w:tab w:val="num" w:pos="2880"/>
        </w:tabs>
        <w:ind w:left="2880" w:hanging="360"/>
      </w:pPr>
      <w:rPr>
        <w:rFonts w:ascii="Times New Roman" w:hAnsi="Times New Roman" w:hint="default"/>
      </w:rPr>
    </w:lvl>
    <w:lvl w:ilvl="4" w:tplc="309AFC20" w:tentative="1">
      <w:start w:val="1"/>
      <w:numFmt w:val="bullet"/>
      <w:lvlText w:val="•"/>
      <w:lvlJc w:val="left"/>
      <w:pPr>
        <w:tabs>
          <w:tab w:val="num" w:pos="3600"/>
        </w:tabs>
        <w:ind w:left="3600" w:hanging="360"/>
      </w:pPr>
      <w:rPr>
        <w:rFonts w:ascii="Times New Roman" w:hAnsi="Times New Roman" w:hint="default"/>
      </w:rPr>
    </w:lvl>
    <w:lvl w:ilvl="5" w:tplc="15A80AC8" w:tentative="1">
      <w:start w:val="1"/>
      <w:numFmt w:val="bullet"/>
      <w:lvlText w:val="•"/>
      <w:lvlJc w:val="left"/>
      <w:pPr>
        <w:tabs>
          <w:tab w:val="num" w:pos="4320"/>
        </w:tabs>
        <w:ind w:left="4320" w:hanging="360"/>
      </w:pPr>
      <w:rPr>
        <w:rFonts w:ascii="Times New Roman" w:hAnsi="Times New Roman" w:hint="default"/>
      </w:rPr>
    </w:lvl>
    <w:lvl w:ilvl="6" w:tplc="F6D4C726" w:tentative="1">
      <w:start w:val="1"/>
      <w:numFmt w:val="bullet"/>
      <w:lvlText w:val="•"/>
      <w:lvlJc w:val="left"/>
      <w:pPr>
        <w:tabs>
          <w:tab w:val="num" w:pos="5040"/>
        </w:tabs>
        <w:ind w:left="5040" w:hanging="360"/>
      </w:pPr>
      <w:rPr>
        <w:rFonts w:ascii="Times New Roman" w:hAnsi="Times New Roman" w:hint="default"/>
      </w:rPr>
    </w:lvl>
    <w:lvl w:ilvl="7" w:tplc="A502DD8E" w:tentative="1">
      <w:start w:val="1"/>
      <w:numFmt w:val="bullet"/>
      <w:lvlText w:val="•"/>
      <w:lvlJc w:val="left"/>
      <w:pPr>
        <w:tabs>
          <w:tab w:val="num" w:pos="5760"/>
        </w:tabs>
        <w:ind w:left="5760" w:hanging="360"/>
      </w:pPr>
      <w:rPr>
        <w:rFonts w:ascii="Times New Roman" w:hAnsi="Times New Roman" w:hint="default"/>
      </w:rPr>
    </w:lvl>
    <w:lvl w:ilvl="8" w:tplc="52865D78"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6805C5A"/>
    <w:multiLevelType w:val="hybridMultilevel"/>
    <w:tmpl w:val="4F08407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7E832BD8"/>
    <w:multiLevelType w:val="hybridMultilevel"/>
    <w:tmpl w:val="97AAD806"/>
    <w:lvl w:ilvl="0" w:tplc="04090019">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0"/>
  </w:num>
  <w:num w:numId="3">
    <w:abstractNumId w:val="3"/>
  </w:num>
  <w:num w:numId="4">
    <w:abstractNumId w:val="38"/>
  </w:num>
  <w:num w:numId="5">
    <w:abstractNumId w:val="25"/>
  </w:num>
  <w:num w:numId="6">
    <w:abstractNumId w:val="19"/>
  </w:num>
  <w:num w:numId="7">
    <w:abstractNumId w:val="16"/>
  </w:num>
  <w:num w:numId="8">
    <w:abstractNumId w:val="40"/>
  </w:num>
  <w:num w:numId="9">
    <w:abstractNumId w:val="39"/>
  </w:num>
  <w:num w:numId="10">
    <w:abstractNumId w:val="26"/>
  </w:num>
  <w:num w:numId="11">
    <w:abstractNumId w:val="13"/>
  </w:num>
  <w:num w:numId="12">
    <w:abstractNumId w:val="28"/>
  </w:num>
  <w:num w:numId="13">
    <w:abstractNumId w:val="1"/>
  </w:num>
  <w:num w:numId="14">
    <w:abstractNumId w:val="20"/>
  </w:num>
  <w:num w:numId="15">
    <w:abstractNumId w:val="27"/>
  </w:num>
  <w:num w:numId="16">
    <w:abstractNumId w:val="32"/>
  </w:num>
  <w:num w:numId="17">
    <w:abstractNumId w:val="8"/>
  </w:num>
  <w:num w:numId="18">
    <w:abstractNumId w:val="9"/>
  </w:num>
  <w:num w:numId="19">
    <w:abstractNumId w:val="6"/>
  </w:num>
  <w:num w:numId="20">
    <w:abstractNumId w:val="5"/>
  </w:num>
  <w:num w:numId="21">
    <w:abstractNumId w:val="22"/>
  </w:num>
  <w:num w:numId="22">
    <w:abstractNumId w:val="12"/>
  </w:num>
  <w:num w:numId="23">
    <w:abstractNumId w:val="29"/>
  </w:num>
  <w:num w:numId="24">
    <w:abstractNumId w:val="21"/>
  </w:num>
  <w:num w:numId="25">
    <w:abstractNumId w:val="35"/>
  </w:num>
  <w:num w:numId="26">
    <w:abstractNumId w:val="37"/>
  </w:num>
  <w:num w:numId="27">
    <w:abstractNumId w:val="41"/>
  </w:num>
  <w:num w:numId="28">
    <w:abstractNumId w:val="33"/>
  </w:num>
  <w:num w:numId="29">
    <w:abstractNumId w:val="14"/>
  </w:num>
  <w:num w:numId="30">
    <w:abstractNumId w:val="2"/>
  </w:num>
  <w:num w:numId="31">
    <w:abstractNumId w:val="36"/>
  </w:num>
  <w:num w:numId="32">
    <w:abstractNumId w:val="30"/>
  </w:num>
  <w:num w:numId="33">
    <w:abstractNumId w:val="4"/>
  </w:num>
  <w:num w:numId="34">
    <w:abstractNumId w:val="31"/>
  </w:num>
  <w:num w:numId="35">
    <w:abstractNumId w:val="34"/>
  </w:num>
  <w:num w:numId="36">
    <w:abstractNumId w:val="17"/>
  </w:num>
  <w:num w:numId="37">
    <w:abstractNumId w:val="18"/>
  </w:num>
  <w:num w:numId="38">
    <w:abstractNumId w:val="18"/>
  </w:num>
  <w:num w:numId="39">
    <w:abstractNumId w:val="23"/>
  </w:num>
  <w:num w:numId="40">
    <w:abstractNumId w:val="7"/>
  </w:num>
  <w:num w:numId="41">
    <w:abstractNumId w:val="24"/>
  </w:num>
  <w:num w:numId="4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573"/>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4A0"/>
    <w:rsid w:val="000255A1"/>
    <w:rsid w:val="000258DD"/>
    <w:rsid w:val="0002591B"/>
    <w:rsid w:val="00025AFC"/>
    <w:rsid w:val="000266AE"/>
    <w:rsid w:val="00026905"/>
    <w:rsid w:val="00026977"/>
    <w:rsid w:val="00026AF7"/>
    <w:rsid w:val="00026EF9"/>
    <w:rsid w:val="00027333"/>
    <w:rsid w:val="000274C7"/>
    <w:rsid w:val="0002790C"/>
    <w:rsid w:val="000300FE"/>
    <w:rsid w:val="00030766"/>
    <w:rsid w:val="00030ED5"/>
    <w:rsid w:val="00030F74"/>
    <w:rsid w:val="00031242"/>
    <w:rsid w:val="00031EDD"/>
    <w:rsid w:val="000321DC"/>
    <w:rsid w:val="00032A64"/>
    <w:rsid w:val="000334D2"/>
    <w:rsid w:val="00033621"/>
    <w:rsid w:val="00033834"/>
    <w:rsid w:val="00033A55"/>
    <w:rsid w:val="00033AE8"/>
    <w:rsid w:val="00033E5C"/>
    <w:rsid w:val="000349B7"/>
    <w:rsid w:val="00034A35"/>
    <w:rsid w:val="00034DC2"/>
    <w:rsid w:val="000350B6"/>
    <w:rsid w:val="0003540B"/>
    <w:rsid w:val="00035757"/>
    <w:rsid w:val="00035CAB"/>
    <w:rsid w:val="00036A16"/>
    <w:rsid w:val="00036C45"/>
    <w:rsid w:val="00036FA7"/>
    <w:rsid w:val="00037703"/>
    <w:rsid w:val="000377E3"/>
    <w:rsid w:val="00037910"/>
    <w:rsid w:val="00037A21"/>
    <w:rsid w:val="000404F2"/>
    <w:rsid w:val="00040E8A"/>
    <w:rsid w:val="00040F7A"/>
    <w:rsid w:val="000412B7"/>
    <w:rsid w:val="000413B8"/>
    <w:rsid w:val="0004182E"/>
    <w:rsid w:val="000418C8"/>
    <w:rsid w:val="0004213D"/>
    <w:rsid w:val="000426B1"/>
    <w:rsid w:val="00042759"/>
    <w:rsid w:val="00042BFC"/>
    <w:rsid w:val="000430CF"/>
    <w:rsid w:val="00043703"/>
    <w:rsid w:val="0004403C"/>
    <w:rsid w:val="00044225"/>
    <w:rsid w:val="00044359"/>
    <w:rsid w:val="00044576"/>
    <w:rsid w:val="00044FC4"/>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A6"/>
    <w:rsid w:val="00057AD4"/>
    <w:rsid w:val="00057DF9"/>
    <w:rsid w:val="00057F2C"/>
    <w:rsid w:val="00057F68"/>
    <w:rsid w:val="00057F6C"/>
    <w:rsid w:val="00057FE7"/>
    <w:rsid w:val="000600E4"/>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CC"/>
    <w:rsid w:val="000716FB"/>
    <w:rsid w:val="00071E9B"/>
    <w:rsid w:val="00072E75"/>
    <w:rsid w:val="00072EFA"/>
    <w:rsid w:val="00073589"/>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88"/>
    <w:rsid w:val="000A7E17"/>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76B"/>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0B42"/>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CC3"/>
    <w:rsid w:val="00106E7E"/>
    <w:rsid w:val="001074D1"/>
    <w:rsid w:val="001115C0"/>
    <w:rsid w:val="001115F4"/>
    <w:rsid w:val="001118AA"/>
    <w:rsid w:val="00111AD9"/>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C33"/>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4E15"/>
    <w:rsid w:val="00125078"/>
    <w:rsid w:val="001252FE"/>
    <w:rsid w:val="001257E6"/>
    <w:rsid w:val="001274AC"/>
    <w:rsid w:val="001275E6"/>
    <w:rsid w:val="00127DE2"/>
    <w:rsid w:val="00127F28"/>
    <w:rsid w:val="001301E5"/>
    <w:rsid w:val="00130714"/>
    <w:rsid w:val="00130953"/>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214"/>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51C"/>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4BC"/>
    <w:rsid w:val="00164646"/>
    <w:rsid w:val="001647FA"/>
    <w:rsid w:val="001649D4"/>
    <w:rsid w:val="00165137"/>
    <w:rsid w:val="0016634F"/>
    <w:rsid w:val="001669F9"/>
    <w:rsid w:val="0016700E"/>
    <w:rsid w:val="0016711A"/>
    <w:rsid w:val="0016764C"/>
    <w:rsid w:val="00167709"/>
    <w:rsid w:val="00170397"/>
    <w:rsid w:val="001706E4"/>
    <w:rsid w:val="001708D0"/>
    <w:rsid w:val="00171944"/>
    <w:rsid w:val="00171D7E"/>
    <w:rsid w:val="00171F14"/>
    <w:rsid w:val="0017226B"/>
    <w:rsid w:val="0017276D"/>
    <w:rsid w:val="00172903"/>
    <w:rsid w:val="001729E1"/>
    <w:rsid w:val="00172B61"/>
    <w:rsid w:val="00172C20"/>
    <w:rsid w:val="00173869"/>
    <w:rsid w:val="001738A5"/>
    <w:rsid w:val="00173A00"/>
    <w:rsid w:val="00174DDB"/>
    <w:rsid w:val="00174F2F"/>
    <w:rsid w:val="001752EC"/>
    <w:rsid w:val="00175B5A"/>
    <w:rsid w:val="00176414"/>
    <w:rsid w:val="00177036"/>
    <w:rsid w:val="0017714C"/>
    <w:rsid w:val="0017722E"/>
    <w:rsid w:val="00177711"/>
    <w:rsid w:val="001778F8"/>
    <w:rsid w:val="00177A0D"/>
    <w:rsid w:val="00177DFF"/>
    <w:rsid w:val="00177EBD"/>
    <w:rsid w:val="001800DB"/>
    <w:rsid w:val="00180149"/>
    <w:rsid w:val="0018016C"/>
    <w:rsid w:val="00180E60"/>
    <w:rsid w:val="001817BA"/>
    <w:rsid w:val="00181934"/>
    <w:rsid w:val="00181B3A"/>
    <w:rsid w:val="001820B2"/>
    <w:rsid w:val="001821E9"/>
    <w:rsid w:val="00182608"/>
    <w:rsid w:val="00182E75"/>
    <w:rsid w:val="001836DF"/>
    <w:rsid w:val="00183C6E"/>
    <w:rsid w:val="00183CC6"/>
    <w:rsid w:val="00183D8A"/>
    <w:rsid w:val="00183E8B"/>
    <w:rsid w:val="00183F11"/>
    <w:rsid w:val="001840F5"/>
    <w:rsid w:val="00184DAB"/>
    <w:rsid w:val="00184F51"/>
    <w:rsid w:val="00185257"/>
    <w:rsid w:val="00185E59"/>
    <w:rsid w:val="00185F10"/>
    <w:rsid w:val="00186133"/>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671"/>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84"/>
    <w:rsid w:val="001E6DE6"/>
    <w:rsid w:val="001E6F14"/>
    <w:rsid w:val="001E719A"/>
    <w:rsid w:val="001E750C"/>
    <w:rsid w:val="001F0546"/>
    <w:rsid w:val="001F0DDF"/>
    <w:rsid w:val="001F16FD"/>
    <w:rsid w:val="001F1B1E"/>
    <w:rsid w:val="001F1DFA"/>
    <w:rsid w:val="001F22A9"/>
    <w:rsid w:val="001F2536"/>
    <w:rsid w:val="001F26E9"/>
    <w:rsid w:val="001F2E08"/>
    <w:rsid w:val="001F37ED"/>
    <w:rsid w:val="001F39AB"/>
    <w:rsid w:val="001F3DAB"/>
    <w:rsid w:val="001F45E8"/>
    <w:rsid w:val="001F4AE1"/>
    <w:rsid w:val="001F4E57"/>
    <w:rsid w:val="001F53A2"/>
    <w:rsid w:val="001F5AF6"/>
    <w:rsid w:val="001F5C95"/>
    <w:rsid w:val="001F5C9E"/>
    <w:rsid w:val="001F5E73"/>
    <w:rsid w:val="001F5ED8"/>
    <w:rsid w:val="001F5F10"/>
    <w:rsid w:val="001F6192"/>
    <w:rsid w:val="001F6408"/>
    <w:rsid w:val="001F644E"/>
    <w:rsid w:val="001F6D4D"/>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283"/>
    <w:rsid w:val="002047DE"/>
    <w:rsid w:val="00204A5A"/>
    <w:rsid w:val="00204C12"/>
    <w:rsid w:val="00205635"/>
    <w:rsid w:val="002058DC"/>
    <w:rsid w:val="00205AB2"/>
    <w:rsid w:val="00205CB2"/>
    <w:rsid w:val="0020610B"/>
    <w:rsid w:val="00206133"/>
    <w:rsid w:val="002063A7"/>
    <w:rsid w:val="0020674D"/>
    <w:rsid w:val="00206799"/>
    <w:rsid w:val="00206E5A"/>
    <w:rsid w:val="0020754E"/>
    <w:rsid w:val="00207613"/>
    <w:rsid w:val="00207847"/>
    <w:rsid w:val="00207AF9"/>
    <w:rsid w:val="00207BB9"/>
    <w:rsid w:val="00207EB6"/>
    <w:rsid w:val="00210018"/>
    <w:rsid w:val="00210174"/>
    <w:rsid w:val="002102D8"/>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EA"/>
    <w:rsid w:val="002165F9"/>
    <w:rsid w:val="00216685"/>
    <w:rsid w:val="00216B17"/>
    <w:rsid w:val="00216BBF"/>
    <w:rsid w:val="00217135"/>
    <w:rsid w:val="0021737B"/>
    <w:rsid w:val="002179B9"/>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040"/>
    <w:rsid w:val="00227049"/>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5792"/>
    <w:rsid w:val="002363F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C52"/>
    <w:rsid w:val="00246EB6"/>
    <w:rsid w:val="002471AB"/>
    <w:rsid w:val="002473C2"/>
    <w:rsid w:val="0024785A"/>
    <w:rsid w:val="00247C82"/>
    <w:rsid w:val="00247D8E"/>
    <w:rsid w:val="00247DD1"/>
    <w:rsid w:val="00247F11"/>
    <w:rsid w:val="002500CB"/>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67F"/>
    <w:rsid w:val="002537F5"/>
    <w:rsid w:val="00253A89"/>
    <w:rsid w:val="00253D64"/>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6728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1737"/>
    <w:rsid w:val="002A1A57"/>
    <w:rsid w:val="002A1DA1"/>
    <w:rsid w:val="002A205B"/>
    <w:rsid w:val="002A22F3"/>
    <w:rsid w:val="002A2409"/>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7165"/>
    <w:rsid w:val="002C04C2"/>
    <w:rsid w:val="002C0818"/>
    <w:rsid w:val="002C0DD0"/>
    <w:rsid w:val="002C0E0A"/>
    <w:rsid w:val="002C135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2FD9"/>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EE4"/>
    <w:rsid w:val="003024AF"/>
    <w:rsid w:val="003024DE"/>
    <w:rsid w:val="00302701"/>
    <w:rsid w:val="00302739"/>
    <w:rsid w:val="00302836"/>
    <w:rsid w:val="0030361B"/>
    <w:rsid w:val="00303FB7"/>
    <w:rsid w:val="00304549"/>
    <w:rsid w:val="0030458C"/>
    <w:rsid w:val="00304AC5"/>
    <w:rsid w:val="00304FCA"/>
    <w:rsid w:val="003065FB"/>
    <w:rsid w:val="003077FA"/>
    <w:rsid w:val="00307B27"/>
    <w:rsid w:val="00307F28"/>
    <w:rsid w:val="003101DC"/>
    <w:rsid w:val="0031035A"/>
    <w:rsid w:val="003106A5"/>
    <w:rsid w:val="00310CC6"/>
    <w:rsid w:val="00311642"/>
    <w:rsid w:val="00311761"/>
    <w:rsid w:val="00311941"/>
    <w:rsid w:val="003121B8"/>
    <w:rsid w:val="003121F2"/>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B1B"/>
    <w:rsid w:val="0032172E"/>
    <w:rsid w:val="00321822"/>
    <w:rsid w:val="00321B02"/>
    <w:rsid w:val="003222E4"/>
    <w:rsid w:val="00322A6A"/>
    <w:rsid w:val="00322BC3"/>
    <w:rsid w:val="00322E3B"/>
    <w:rsid w:val="00323FAD"/>
    <w:rsid w:val="00324731"/>
    <w:rsid w:val="003249F8"/>
    <w:rsid w:val="0032541D"/>
    <w:rsid w:val="0032639D"/>
    <w:rsid w:val="0032649F"/>
    <w:rsid w:val="0032695B"/>
    <w:rsid w:val="00326BBA"/>
    <w:rsid w:val="003271E3"/>
    <w:rsid w:val="003272D0"/>
    <w:rsid w:val="003273DE"/>
    <w:rsid w:val="00327470"/>
    <w:rsid w:val="003278C7"/>
    <w:rsid w:val="0032793B"/>
    <w:rsid w:val="00327AEA"/>
    <w:rsid w:val="00327B3F"/>
    <w:rsid w:val="003308C4"/>
    <w:rsid w:val="00330C30"/>
    <w:rsid w:val="00330DE8"/>
    <w:rsid w:val="00331BCC"/>
    <w:rsid w:val="00331DC4"/>
    <w:rsid w:val="003321C3"/>
    <w:rsid w:val="00332962"/>
    <w:rsid w:val="00335250"/>
    <w:rsid w:val="0033592C"/>
    <w:rsid w:val="00335D2B"/>
    <w:rsid w:val="00335E2A"/>
    <w:rsid w:val="00336225"/>
    <w:rsid w:val="00336780"/>
    <w:rsid w:val="003367C5"/>
    <w:rsid w:val="003370D3"/>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CD9"/>
    <w:rsid w:val="003471DC"/>
    <w:rsid w:val="0034745C"/>
    <w:rsid w:val="00347F2E"/>
    <w:rsid w:val="0035025F"/>
    <w:rsid w:val="003503F4"/>
    <w:rsid w:val="0035041A"/>
    <w:rsid w:val="003505AD"/>
    <w:rsid w:val="00350631"/>
    <w:rsid w:val="003516BD"/>
    <w:rsid w:val="0035180B"/>
    <w:rsid w:val="00351C98"/>
    <w:rsid w:val="0035216E"/>
    <w:rsid w:val="0035265C"/>
    <w:rsid w:val="00352759"/>
    <w:rsid w:val="00352828"/>
    <w:rsid w:val="00352952"/>
    <w:rsid w:val="00352CC9"/>
    <w:rsid w:val="00352DAE"/>
    <w:rsid w:val="00352FD6"/>
    <w:rsid w:val="003530A0"/>
    <w:rsid w:val="003531B0"/>
    <w:rsid w:val="003532D2"/>
    <w:rsid w:val="003536C6"/>
    <w:rsid w:val="003539B2"/>
    <w:rsid w:val="00353F9F"/>
    <w:rsid w:val="0035414B"/>
    <w:rsid w:val="003552C6"/>
    <w:rsid w:val="00355A83"/>
    <w:rsid w:val="00355B1A"/>
    <w:rsid w:val="003560B8"/>
    <w:rsid w:val="003562D7"/>
    <w:rsid w:val="00356353"/>
    <w:rsid w:val="0035639A"/>
    <w:rsid w:val="003567C9"/>
    <w:rsid w:val="00356CEC"/>
    <w:rsid w:val="003572DE"/>
    <w:rsid w:val="00357659"/>
    <w:rsid w:val="00357712"/>
    <w:rsid w:val="00357D8A"/>
    <w:rsid w:val="0036012E"/>
    <w:rsid w:val="003604DB"/>
    <w:rsid w:val="0036056F"/>
    <w:rsid w:val="003617B5"/>
    <w:rsid w:val="0036185C"/>
    <w:rsid w:val="0036262C"/>
    <w:rsid w:val="00362C5A"/>
    <w:rsid w:val="003638F2"/>
    <w:rsid w:val="00364A63"/>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473"/>
    <w:rsid w:val="00375FFC"/>
    <w:rsid w:val="003764FA"/>
    <w:rsid w:val="00376E52"/>
    <w:rsid w:val="0037709A"/>
    <w:rsid w:val="00377146"/>
    <w:rsid w:val="00377397"/>
    <w:rsid w:val="003774FD"/>
    <w:rsid w:val="003775BD"/>
    <w:rsid w:val="0038084F"/>
    <w:rsid w:val="00380892"/>
    <w:rsid w:val="00380E43"/>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1E7"/>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647"/>
    <w:rsid w:val="003A19E0"/>
    <w:rsid w:val="003A1DD5"/>
    <w:rsid w:val="003A2019"/>
    <w:rsid w:val="003A2D39"/>
    <w:rsid w:val="003A2FE7"/>
    <w:rsid w:val="003A428A"/>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557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4EA"/>
    <w:rsid w:val="003E1748"/>
    <w:rsid w:val="003E1CF4"/>
    <w:rsid w:val="003E240A"/>
    <w:rsid w:val="003E2BF4"/>
    <w:rsid w:val="003E34E1"/>
    <w:rsid w:val="003E3524"/>
    <w:rsid w:val="003E3C5B"/>
    <w:rsid w:val="003E3D11"/>
    <w:rsid w:val="003E40C9"/>
    <w:rsid w:val="003E4CDB"/>
    <w:rsid w:val="003E52EB"/>
    <w:rsid w:val="003E5627"/>
    <w:rsid w:val="003E5D1A"/>
    <w:rsid w:val="003E6592"/>
    <w:rsid w:val="003E703E"/>
    <w:rsid w:val="003E7066"/>
    <w:rsid w:val="003E73BC"/>
    <w:rsid w:val="003E7A07"/>
    <w:rsid w:val="003F0656"/>
    <w:rsid w:val="003F0905"/>
    <w:rsid w:val="003F0C5A"/>
    <w:rsid w:val="003F16E1"/>
    <w:rsid w:val="003F1B6D"/>
    <w:rsid w:val="003F1D73"/>
    <w:rsid w:val="003F20E2"/>
    <w:rsid w:val="003F2244"/>
    <w:rsid w:val="003F23A7"/>
    <w:rsid w:val="003F2564"/>
    <w:rsid w:val="003F2624"/>
    <w:rsid w:val="003F2711"/>
    <w:rsid w:val="003F2A56"/>
    <w:rsid w:val="003F3865"/>
    <w:rsid w:val="003F3DD7"/>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946"/>
    <w:rsid w:val="00402F2C"/>
    <w:rsid w:val="0040303D"/>
    <w:rsid w:val="0040379F"/>
    <w:rsid w:val="00403805"/>
    <w:rsid w:val="00403824"/>
    <w:rsid w:val="00403F25"/>
    <w:rsid w:val="0040495B"/>
    <w:rsid w:val="00404AE9"/>
    <w:rsid w:val="00405194"/>
    <w:rsid w:val="00405898"/>
    <w:rsid w:val="00405D95"/>
    <w:rsid w:val="00405ED5"/>
    <w:rsid w:val="00405F90"/>
    <w:rsid w:val="00406108"/>
    <w:rsid w:val="00406412"/>
    <w:rsid w:val="00406F4B"/>
    <w:rsid w:val="00406FBD"/>
    <w:rsid w:val="00407016"/>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767"/>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63E"/>
    <w:rsid w:val="00440EA5"/>
    <w:rsid w:val="0044131C"/>
    <w:rsid w:val="0044142F"/>
    <w:rsid w:val="00441B8C"/>
    <w:rsid w:val="004425C2"/>
    <w:rsid w:val="00442824"/>
    <w:rsid w:val="00442FFB"/>
    <w:rsid w:val="004430FD"/>
    <w:rsid w:val="004442A7"/>
    <w:rsid w:val="00444901"/>
    <w:rsid w:val="00444934"/>
    <w:rsid w:val="00444F5E"/>
    <w:rsid w:val="0044540F"/>
    <w:rsid w:val="00445494"/>
    <w:rsid w:val="0044551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E8"/>
    <w:rsid w:val="00465EB3"/>
    <w:rsid w:val="0046645E"/>
    <w:rsid w:val="00467838"/>
    <w:rsid w:val="0047041E"/>
    <w:rsid w:val="00470750"/>
    <w:rsid w:val="00470893"/>
    <w:rsid w:val="00470E35"/>
    <w:rsid w:val="0047166D"/>
    <w:rsid w:val="00471856"/>
    <w:rsid w:val="004719A1"/>
    <w:rsid w:val="00471DB0"/>
    <w:rsid w:val="00471F3B"/>
    <w:rsid w:val="00471FAB"/>
    <w:rsid w:val="00472252"/>
    <w:rsid w:val="00472ACB"/>
    <w:rsid w:val="00473F5F"/>
    <w:rsid w:val="0047410D"/>
    <w:rsid w:val="00474FB4"/>
    <w:rsid w:val="00475131"/>
    <w:rsid w:val="00475260"/>
    <w:rsid w:val="004755D5"/>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6ED2"/>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212D"/>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0D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479"/>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FCA"/>
    <w:rsid w:val="005035E7"/>
    <w:rsid w:val="005038A7"/>
    <w:rsid w:val="00503C88"/>
    <w:rsid w:val="00503FAD"/>
    <w:rsid w:val="00504639"/>
    <w:rsid w:val="005050F8"/>
    <w:rsid w:val="00505A2A"/>
    <w:rsid w:val="00505E39"/>
    <w:rsid w:val="0050614B"/>
    <w:rsid w:val="00506571"/>
    <w:rsid w:val="00506A8D"/>
    <w:rsid w:val="00506C2E"/>
    <w:rsid w:val="005074C9"/>
    <w:rsid w:val="00507754"/>
    <w:rsid w:val="00507CAF"/>
    <w:rsid w:val="00510374"/>
    <w:rsid w:val="00510444"/>
    <w:rsid w:val="00510A37"/>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1CB"/>
    <w:rsid w:val="0053058D"/>
    <w:rsid w:val="00530AFD"/>
    <w:rsid w:val="0053173A"/>
    <w:rsid w:val="00531824"/>
    <w:rsid w:val="00531AF4"/>
    <w:rsid w:val="00531F71"/>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AEE"/>
    <w:rsid w:val="00537BE9"/>
    <w:rsid w:val="00537E22"/>
    <w:rsid w:val="00540147"/>
    <w:rsid w:val="00540EB6"/>
    <w:rsid w:val="005417A0"/>
    <w:rsid w:val="00541E2B"/>
    <w:rsid w:val="005421AB"/>
    <w:rsid w:val="005436D7"/>
    <w:rsid w:val="00543703"/>
    <w:rsid w:val="00543A66"/>
    <w:rsid w:val="00543A83"/>
    <w:rsid w:val="00544220"/>
    <w:rsid w:val="005444D2"/>
    <w:rsid w:val="00544C33"/>
    <w:rsid w:val="0054556F"/>
    <w:rsid w:val="00545C3D"/>
    <w:rsid w:val="00545E6A"/>
    <w:rsid w:val="00545E81"/>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63A"/>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0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189"/>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54F2"/>
    <w:rsid w:val="00595777"/>
    <w:rsid w:val="005957BB"/>
    <w:rsid w:val="00595CFE"/>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22F"/>
    <w:rsid w:val="005A2638"/>
    <w:rsid w:val="005A320D"/>
    <w:rsid w:val="005A36E3"/>
    <w:rsid w:val="005A3A31"/>
    <w:rsid w:val="005A3B1E"/>
    <w:rsid w:val="005A40D5"/>
    <w:rsid w:val="005A4999"/>
    <w:rsid w:val="005A4E38"/>
    <w:rsid w:val="005A50CE"/>
    <w:rsid w:val="005A588D"/>
    <w:rsid w:val="005A59CF"/>
    <w:rsid w:val="005A6A3A"/>
    <w:rsid w:val="005A6FA1"/>
    <w:rsid w:val="005A70C7"/>
    <w:rsid w:val="005A7722"/>
    <w:rsid w:val="005A7F72"/>
    <w:rsid w:val="005B2D4D"/>
    <w:rsid w:val="005B2EB8"/>
    <w:rsid w:val="005B355C"/>
    <w:rsid w:val="005B3C58"/>
    <w:rsid w:val="005B3C7C"/>
    <w:rsid w:val="005B4911"/>
    <w:rsid w:val="005B4A66"/>
    <w:rsid w:val="005B4C5C"/>
    <w:rsid w:val="005B4E3D"/>
    <w:rsid w:val="005B4E83"/>
    <w:rsid w:val="005B541A"/>
    <w:rsid w:val="005B5425"/>
    <w:rsid w:val="005B54FE"/>
    <w:rsid w:val="005B5A55"/>
    <w:rsid w:val="005B6A67"/>
    <w:rsid w:val="005B6FAE"/>
    <w:rsid w:val="005B703E"/>
    <w:rsid w:val="005B70E8"/>
    <w:rsid w:val="005B7824"/>
    <w:rsid w:val="005C0625"/>
    <w:rsid w:val="005C0904"/>
    <w:rsid w:val="005C09BF"/>
    <w:rsid w:val="005C0D61"/>
    <w:rsid w:val="005C0DDE"/>
    <w:rsid w:val="005C11DA"/>
    <w:rsid w:val="005C1225"/>
    <w:rsid w:val="005C132F"/>
    <w:rsid w:val="005C1752"/>
    <w:rsid w:val="005C2144"/>
    <w:rsid w:val="005C2368"/>
    <w:rsid w:val="005C376D"/>
    <w:rsid w:val="005C3A65"/>
    <w:rsid w:val="005C3CDF"/>
    <w:rsid w:val="005C4AF0"/>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76B"/>
    <w:rsid w:val="005D594D"/>
    <w:rsid w:val="005D5E46"/>
    <w:rsid w:val="005D609E"/>
    <w:rsid w:val="005D64A5"/>
    <w:rsid w:val="005D6929"/>
    <w:rsid w:val="005D6B30"/>
    <w:rsid w:val="005D6E1C"/>
    <w:rsid w:val="005D7741"/>
    <w:rsid w:val="005D7E04"/>
    <w:rsid w:val="005E0082"/>
    <w:rsid w:val="005E115D"/>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427"/>
    <w:rsid w:val="00623EF3"/>
    <w:rsid w:val="00624AFA"/>
    <w:rsid w:val="00624C6E"/>
    <w:rsid w:val="00624FB3"/>
    <w:rsid w:val="00625B24"/>
    <w:rsid w:val="00626103"/>
    <w:rsid w:val="0062657C"/>
    <w:rsid w:val="00626C25"/>
    <w:rsid w:val="00626E64"/>
    <w:rsid w:val="00627BA3"/>
    <w:rsid w:val="00627C39"/>
    <w:rsid w:val="00627E44"/>
    <w:rsid w:val="00630090"/>
    <w:rsid w:val="006300D7"/>
    <w:rsid w:val="00630A44"/>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038"/>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196"/>
    <w:rsid w:val="00661636"/>
    <w:rsid w:val="00661CC2"/>
    <w:rsid w:val="00662166"/>
    <w:rsid w:val="00662FA2"/>
    <w:rsid w:val="006635DC"/>
    <w:rsid w:val="00663908"/>
    <w:rsid w:val="00663F93"/>
    <w:rsid w:val="0066402E"/>
    <w:rsid w:val="006646F4"/>
    <w:rsid w:val="00665229"/>
    <w:rsid w:val="00665316"/>
    <w:rsid w:val="006654E8"/>
    <w:rsid w:val="0066568F"/>
    <w:rsid w:val="00665CCE"/>
    <w:rsid w:val="006672FC"/>
    <w:rsid w:val="006675A0"/>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39B"/>
    <w:rsid w:val="006767B8"/>
    <w:rsid w:val="0067755D"/>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D90"/>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56C"/>
    <w:rsid w:val="006D492A"/>
    <w:rsid w:val="006D493C"/>
    <w:rsid w:val="006D4F72"/>
    <w:rsid w:val="006D5373"/>
    <w:rsid w:val="006D59BF"/>
    <w:rsid w:val="006D5AE7"/>
    <w:rsid w:val="006D5EC2"/>
    <w:rsid w:val="006D5FEF"/>
    <w:rsid w:val="006D615D"/>
    <w:rsid w:val="006D7598"/>
    <w:rsid w:val="006D7B93"/>
    <w:rsid w:val="006D7DAD"/>
    <w:rsid w:val="006E0B16"/>
    <w:rsid w:val="006E0E60"/>
    <w:rsid w:val="006E0ED0"/>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3C4"/>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8AB"/>
    <w:rsid w:val="007017EA"/>
    <w:rsid w:val="0070181F"/>
    <w:rsid w:val="0070193E"/>
    <w:rsid w:val="00701B27"/>
    <w:rsid w:val="00702BFC"/>
    <w:rsid w:val="007034BC"/>
    <w:rsid w:val="007034F3"/>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4312"/>
    <w:rsid w:val="00714722"/>
    <w:rsid w:val="00714D6A"/>
    <w:rsid w:val="00715F49"/>
    <w:rsid w:val="007162F2"/>
    <w:rsid w:val="007163BF"/>
    <w:rsid w:val="0071649C"/>
    <w:rsid w:val="00716FC0"/>
    <w:rsid w:val="00717267"/>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31C"/>
    <w:rsid w:val="0073171A"/>
    <w:rsid w:val="00731A41"/>
    <w:rsid w:val="00731D37"/>
    <w:rsid w:val="00731E4B"/>
    <w:rsid w:val="00732321"/>
    <w:rsid w:val="00733315"/>
    <w:rsid w:val="00733858"/>
    <w:rsid w:val="00733A74"/>
    <w:rsid w:val="00733A80"/>
    <w:rsid w:val="00733AA9"/>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38"/>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C27"/>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D15"/>
    <w:rsid w:val="00772DC3"/>
    <w:rsid w:val="007733C4"/>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16A"/>
    <w:rsid w:val="00783315"/>
    <w:rsid w:val="007833C3"/>
    <w:rsid w:val="007837BE"/>
    <w:rsid w:val="0078380D"/>
    <w:rsid w:val="007842FE"/>
    <w:rsid w:val="00784702"/>
    <w:rsid w:val="00784C31"/>
    <w:rsid w:val="00784EA1"/>
    <w:rsid w:val="00784FC7"/>
    <w:rsid w:val="007855F1"/>
    <w:rsid w:val="007861D1"/>
    <w:rsid w:val="00786272"/>
    <w:rsid w:val="007864B2"/>
    <w:rsid w:val="00786620"/>
    <w:rsid w:val="007868B7"/>
    <w:rsid w:val="00786BC0"/>
    <w:rsid w:val="0078756D"/>
    <w:rsid w:val="00787736"/>
    <w:rsid w:val="00787977"/>
    <w:rsid w:val="00787A55"/>
    <w:rsid w:val="00787FF1"/>
    <w:rsid w:val="007916D2"/>
    <w:rsid w:val="00791ADE"/>
    <w:rsid w:val="00791BEA"/>
    <w:rsid w:val="007926B7"/>
    <w:rsid w:val="00792ECC"/>
    <w:rsid w:val="007939C7"/>
    <w:rsid w:val="00793F70"/>
    <w:rsid w:val="007947FB"/>
    <w:rsid w:val="00794F5B"/>
    <w:rsid w:val="007954AC"/>
    <w:rsid w:val="0079601B"/>
    <w:rsid w:val="007962E1"/>
    <w:rsid w:val="0079663F"/>
    <w:rsid w:val="00796F91"/>
    <w:rsid w:val="00797DAA"/>
    <w:rsid w:val="00797FCF"/>
    <w:rsid w:val="007A0616"/>
    <w:rsid w:val="007A0DAC"/>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86D"/>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371"/>
    <w:rsid w:val="007E7B2B"/>
    <w:rsid w:val="007E7CBA"/>
    <w:rsid w:val="007F05E0"/>
    <w:rsid w:val="007F0B77"/>
    <w:rsid w:val="007F0D9F"/>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F63"/>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87F"/>
    <w:rsid w:val="00843AFD"/>
    <w:rsid w:val="008444F8"/>
    <w:rsid w:val="00844750"/>
    <w:rsid w:val="00845F51"/>
    <w:rsid w:val="00845F6D"/>
    <w:rsid w:val="00846106"/>
    <w:rsid w:val="008462E7"/>
    <w:rsid w:val="00846467"/>
    <w:rsid w:val="00847991"/>
    <w:rsid w:val="00847C4E"/>
    <w:rsid w:val="00850725"/>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30B"/>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6B1"/>
    <w:rsid w:val="00870793"/>
    <w:rsid w:val="00870A1C"/>
    <w:rsid w:val="00870DDF"/>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6B7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2F7"/>
    <w:rsid w:val="00887771"/>
    <w:rsid w:val="0089035C"/>
    <w:rsid w:val="008907B2"/>
    <w:rsid w:val="00890B03"/>
    <w:rsid w:val="00890BCD"/>
    <w:rsid w:val="00890F04"/>
    <w:rsid w:val="00890F2B"/>
    <w:rsid w:val="008911A2"/>
    <w:rsid w:val="00891353"/>
    <w:rsid w:val="00891F63"/>
    <w:rsid w:val="008922DC"/>
    <w:rsid w:val="008922DF"/>
    <w:rsid w:val="00893024"/>
    <w:rsid w:val="0089365B"/>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4C7F"/>
    <w:rsid w:val="008A53C3"/>
    <w:rsid w:val="008A59E9"/>
    <w:rsid w:val="008A631F"/>
    <w:rsid w:val="008A668F"/>
    <w:rsid w:val="008A72A4"/>
    <w:rsid w:val="008A758D"/>
    <w:rsid w:val="008A75C5"/>
    <w:rsid w:val="008A7669"/>
    <w:rsid w:val="008A7819"/>
    <w:rsid w:val="008A7BEA"/>
    <w:rsid w:val="008A7C09"/>
    <w:rsid w:val="008A7EDC"/>
    <w:rsid w:val="008B01A2"/>
    <w:rsid w:val="008B097E"/>
    <w:rsid w:val="008B0C49"/>
    <w:rsid w:val="008B0CD0"/>
    <w:rsid w:val="008B0FE8"/>
    <w:rsid w:val="008B130E"/>
    <w:rsid w:val="008B15FE"/>
    <w:rsid w:val="008B1651"/>
    <w:rsid w:val="008B175A"/>
    <w:rsid w:val="008B1EFF"/>
    <w:rsid w:val="008B21F5"/>
    <w:rsid w:val="008B269F"/>
    <w:rsid w:val="008B2A2E"/>
    <w:rsid w:val="008B2D1D"/>
    <w:rsid w:val="008B2DEB"/>
    <w:rsid w:val="008B35ED"/>
    <w:rsid w:val="008B41EF"/>
    <w:rsid w:val="008B4230"/>
    <w:rsid w:val="008B447F"/>
    <w:rsid w:val="008B4AA0"/>
    <w:rsid w:val="008B4B0D"/>
    <w:rsid w:val="008B4B33"/>
    <w:rsid w:val="008B5577"/>
    <w:rsid w:val="008B5D08"/>
    <w:rsid w:val="008B60E9"/>
    <w:rsid w:val="008B60ED"/>
    <w:rsid w:val="008B6E5C"/>
    <w:rsid w:val="008B766A"/>
    <w:rsid w:val="008B7A0E"/>
    <w:rsid w:val="008C2426"/>
    <w:rsid w:val="008C2453"/>
    <w:rsid w:val="008C26B4"/>
    <w:rsid w:val="008C28BA"/>
    <w:rsid w:val="008C3240"/>
    <w:rsid w:val="008C4188"/>
    <w:rsid w:val="008C4B47"/>
    <w:rsid w:val="008C59D5"/>
    <w:rsid w:val="008C5A12"/>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02"/>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96D"/>
    <w:rsid w:val="008E5B5F"/>
    <w:rsid w:val="008E5D5A"/>
    <w:rsid w:val="008E6333"/>
    <w:rsid w:val="008E6788"/>
    <w:rsid w:val="008E7DB3"/>
    <w:rsid w:val="008F01AB"/>
    <w:rsid w:val="008F0248"/>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4CF0"/>
    <w:rsid w:val="00904DCD"/>
    <w:rsid w:val="00905A06"/>
    <w:rsid w:val="00906100"/>
    <w:rsid w:val="009067B8"/>
    <w:rsid w:val="00906EED"/>
    <w:rsid w:val="00907071"/>
    <w:rsid w:val="0090715C"/>
    <w:rsid w:val="009108A7"/>
    <w:rsid w:val="00910ED6"/>
    <w:rsid w:val="00911DFC"/>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FE4"/>
    <w:rsid w:val="00921140"/>
    <w:rsid w:val="009216BF"/>
    <w:rsid w:val="009218D2"/>
    <w:rsid w:val="00921A74"/>
    <w:rsid w:val="00921C9F"/>
    <w:rsid w:val="00921ED5"/>
    <w:rsid w:val="00921FA1"/>
    <w:rsid w:val="009225B6"/>
    <w:rsid w:val="0092286C"/>
    <w:rsid w:val="00923151"/>
    <w:rsid w:val="009239DE"/>
    <w:rsid w:val="00923ABA"/>
    <w:rsid w:val="00924108"/>
    <w:rsid w:val="0092434B"/>
    <w:rsid w:val="009247D8"/>
    <w:rsid w:val="00924B01"/>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30F"/>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5EA4"/>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43C5"/>
    <w:rsid w:val="0098511E"/>
    <w:rsid w:val="009852B3"/>
    <w:rsid w:val="0098541D"/>
    <w:rsid w:val="00985CA4"/>
    <w:rsid w:val="00986956"/>
    <w:rsid w:val="009876A0"/>
    <w:rsid w:val="009879B5"/>
    <w:rsid w:val="009879F4"/>
    <w:rsid w:val="009917F3"/>
    <w:rsid w:val="00991829"/>
    <w:rsid w:val="00991F39"/>
    <w:rsid w:val="00992624"/>
    <w:rsid w:val="009927C4"/>
    <w:rsid w:val="009930C0"/>
    <w:rsid w:val="0099324C"/>
    <w:rsid w:val="00993627"/>
    <w:rsid w:val="00993658"/>
    <w:rsid w:val="0099367D"/>
    <w:rsid w:val="009936F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0D54"/>
    <w:rsid w:val="009A1E77"/>
    <w:rsid w:val="009A20F1"/>
    <w:rsid w:val="009A2180"/>
    <w:rsid w:val="009A246A"/>
    <w:rsid w:val="009A3183"/>
    <w:rsid w:val="009A37AC"/>
    <w:rsid w:val="009A3AB5"/>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BE"/>
    <w:rsid w:val="009C10DF"/>
    <w:rsid w:val="009C1A35"/>
    <w:rsid w:val="009C1D4B"/>
    <w:rsid w:val="009C1E0C"/>
    <w:rsid w:val="009C281C"/>
    <w:rsid w:val="009C3D88"/>
    <w:rsid w:val="009C520B"/>
    <w:rsid w:val="009C5785"/>
    <w:rsid w:val="009C5874"/>
    <w:rsid w:val="009C6768"/>
    <w:rsid w:val="009C6894"/>
    <w:rsid w:val="009C690E"/>
    <w:rsid w:val="009C6B3B"/>
    <w:rsid w:val="009C6B7B"/>
    <w:rsid w:val="009C6E93"/>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6DA6"/>
    <w:rsid w:val="009D75A4"/>
    <w:rsid w:val="009E11A9"/>
    <w:rsid w:val="009E176B"/>
    <w:rsid w:val="009E1E13"/>
    <w:rsid w:val="009E1F70"/>
    <w:rsid w:val="009E1FFC"/>
    <w:rsid w:val="009E2F97"/>
    <w:rsid w:val="009E3235"/>
    <w:rsid w:val="009E3790"/>
    <w:rsid w:val="009E457F"/>
    <w:rsid w:val="009E53AA"/>
    <w:rsid w:val="009E53D6"/>
    <w:rsid w:val="009E5656"/>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A6"/>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2B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A59"/>
    <w:rsid w:val="00A400DC"/>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DCF"/>
    <w:rsid w:val="00A46FAD"/>
    <w:rsid w:val="00A470ED"/>
    <w:rsid w:val="00A47430"/>
    <w:rsid w:val="00A4761F"/>
    <w:rsid w:val="00A47B4B"/>
    <w:rsid w:val="00A5044D"/>
    <w:rsid w:val="00A50B00"/>
    <w:rsid w:val="00A511FB"/>
    <w:rsid w:val="00A514EB"/>
    <w:rsid w:val="00A521E0"/>
    <w:rsid w:val="00A52D1E"/>
    <w:rsid w:val="00A5370C"/>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236B"/>
    <w:rsid w:val="00A73741"/>
    <w:rsid w:val="00A7387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67E"/>
    <w:rsid w:val="00A83BF1"/>
    <w:rsid w:val="00A83C06"/>
    <w:rsid w:val="00A84298"/>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387"/>
    <w:rsid w:val="00AA69EF"/>
    <w:rsid w:val="00AA6B64"/>
    <w:rsid w:val="00AA6F9A"/>
    <w:rsid w:val="00AA7C4F"/>
    <w:rsid w:val="00AB001C"/>
    <w:rsid w:val="00AB02C8"/>
    <w:rsid w:val="00AB06B8"/>
    <w:rsid w:val="00AB0ADE"/>
    <w:rsid w:val="00AB0CA0"/>
    <w:rsid w:val="00AB102D"/>
    <w:rsid w:val="00AB1A33"/>
    <w:rsid w:val="00AB1C99"/>
    <w:rsid w:val="00AB285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4F3"/>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1C4"/>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18BA"/>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1D43"/>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5BA7"/>
    <w:rsid w:val="00B06AF4"/>
    <w:rsid w:val="00B06C77"/>
    <w:rsid w:val="00B075EC"/>
    <w:rsid w:val="00B07CBE"/>
    <w:rsid w:val="00B07F35"/>
    <w:rsid w:val="00B1093D"/>
    <w:rsid w:val="00B10BD1"/>
    <w:rsid w:val="00B111BF"/>
    <w:rsid w:val="00B114C4"/>
    <w:rsid w:val="00B11882"/>
    <w:rsid w:val="00B11E29"/>
    <w:rsid w:val="00B12F78"/>
    <w:rsid w:val="00B131D0"/>
    <w:rsid w:val="00B137BE"/>
    <w:rsid w:val="00B137D3"/>
    <w:rsid w:val="00B1388A"/>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33A9"/>
    <w:rsid w:val="00B239CC"/>
    <w:rsid w:val="00B24F49"/>
    <w:rsid w:val="00B254EC"/>
    <w:rsid w:val="00B25585"/>
    <w:rsid w:val="00B25A70"/>
    <w:rsid w:val="00B25BD8"/>
    <w:rsid w:val="00B25E1D"/>
    <w:rsid w:val="00B25F9A"/>
    <w:rsid w:val="00B2613A"/>
    <w:rsid w:val="00B269CE"/>
    <w:rsid w:val="00B26ADD"/>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6F56"/>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D4D"/>
    <w:rsid w:val="00B440CF"/>
    <w:rsid w:val="00B443C5"/>
    <w:rsid w:val="00B4485B"/>
    <w:rsid w:val="00B45A61"/>
    <w:rsid w:val="00B45B26"/>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5E5E"/>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D7"/>
    <w:rsid w:val="00B830F7"/>
    <w:rsid w:val="00B8321E"/>
    <w:rsid w:val="00B83AC3"/>
    <w:rsid w:val="00B83DF6"/>
    <w:rsid w:val="00B8408E"/>
    <w:rsid w:val="00B84BE8"/>
    <w:rsid w:val="00B85E03"/>
    <w:rsid w:val="00B85F67"/>
    <w:rsid w:val="00B86557"/>
    <w:rsid w:val="00B86734"/>
    <w:rsid w:val="00B8692C"/>
    <w:rsid w:val="00B86A8C"/>
    <w:rsid w:val="00B86BDC"/>
    <w:rsid w:val="00B874FB"/>
    <w:rsid w:val="00B8769E"/>
    <w:rsid w:val="00B87A54"/>
    <w:rsid w:val="00B902D4"/>
    <w:rsid w:val="00B90DC8"/>
    <w:rsid w:val="00B91356"/>
    <w:rsid w:val="00B91E0F"/>
    <w:rsid w:val="00B926E0"/>
    <w:rsid w:val="00B928B6"/>
    <w:rsid w:val="00B93B55"/>
    <w:rsid w:val="00B93C36"/>
    <w:rsid w:val="00B94054"/>
    <w:rsid w:val="00B94253"/>
    <w:rsid w:val="00B9436E"/>
    <w:rsid w:val="00B950E8"/>
    <w:rsid w:val="00B95242"/>
    <w:rsid w:val="00B954FC"/>
    <w:rsid w:val="00B95593"/>
    <w:rsid w:val="00B95A04"/>
    <w:rsid w:val="00B95C49"/>
    <w:rsid w:val="00B95EEF"/>
    <w:rsid w:val="00B96228"/>
    <w:rsid w:val="00B96313"/>
    <w:rsid w:val="00B96ABF"/>
    <w:rsid w:val="00B96CBF"/>
    <w:rsid w:val="00B96CF0"/>
    <w:rsid w:val="00B96DA2"/>
    <w:rsid w:val="00B977E6"/>
    <w:rsid w:val="00B97B85"/>
    <w:rsid w:val="00BA067F"/>
    <w:rsid w:val="00BA0EF2"/>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1B"/>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09B"/>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03F"/>
    <w:rsid w:val="00BD140B"/>
    <w:rsid w:val="00BD238C"/>
    <w:rsid w:val="00BD2A08"/>
    <w:rsid w:val="00BD2F55"/>
    <w:rsid w:val="00BD3837"/>
    <w:rsid w:val="00BD386B"/>
    <w:rsid w:val="00BD3C69"/>
    <w:rsid w:val="00BD3D7A"/>
    <w:rsid w:val="00BD5A26"/>
    <w:rsid w:val="00BD5FA4"/>
    <w:rsid w:val="00BD6509"/>
    <w:rsid w:val="00BD689C"/>
    <w:rsid w:val="00BD6A22"/>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2E79"/>
    <w:rsid w:val="00BF31CB"/>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33"/>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346F"/>
    <w:rsid w:val="00C2423A"/>
    <w:rsid w:val="00C24899"/>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1A2"/>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43A"/>
    <w:rsid w:val="00C63B90"/>
    <w:rsid w:val="00C64376"/>
    <w:rsid w:val="00C64626"/>
    <w:rsid w:val="00C64849"/>
    <w:rsid w:val="00C64EDC"/>
    <w:rsid w:val="00C64FE6"/>
    <w:rsid w:val="00C65D24"/>
    <w:rsid w:val="00C65F58"/>
    <w:rsid w:val="00C66571"/>
    <w:rsid w:val="00C666DB"/>
    <w:rsid w:val="00C667F6"/>
    <w:rsid w:val="00C66B89"/>
    <w:rsid w:val="00C66C34"/>
    <w:rsid w:val="00C67231"/>
    <w:rsid w:val="00C7040D"/>
    <w:rsid w:val="00C70B8C"/>
    <w:rsid w:val="00C7146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580"/>
    <w:rsid w:val="00C7799E"/>
    <w:rsid w:val="00C77DF7"/>
    <w:rsid w:val="00C80547"/>
    <w:rsid w:val="00C8198E"/>
    <w:rsid w:val="00C81B30"/>
    <w:rsid w:val="00C82387"/>
    <w:rsid w:val="00C8534D"/>
    <w:rsid w:val="00C8624E"/>
    <w:rsid w:val="00C86379"/>
    <w:rsid w:val="00C864DB"/>
    <w:rsid w:val="00C868DF"/>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1B74"/>
    <w:rsid w:val="00CA2919"/>
    <w:rsid w:val="00CA2C56"/>
    <w:rsid w:val="00CA4A3F"/>
    <w:rsid w:val="00CA4C14"/>
    <w:rsid w:val="00CA4FE7"/>
    <w:rsid w:val="00CA51A0"/>
    <w:rsid w:val="00CA6164"/>
    <w:rsid w:val="00CA73B2"/>
    <w:rsid w:val="00CA74E8"/>
    <w:rsid w:val="00CB047F"/>
    <w:rsid w:val="00CB0C2A"/>
    <w:rsid w:val="00CB0E19"/>
    <w:rsid w:val="00CB11BD"/>
    <w:rsid w:val="00CB1368"/>
    <w:rsid w:val="00CB1F2A"/>
    <w:rsid w:val="00CB2836"/>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206"/>
    <w:rsid w:val="00CC172A"/>
    <w:rsid w:val="00CC1A18"/>
    <w:rsid w:val="00CC1C42"/>
    <w:rsid w:val="00CC1E3E"/>
    <w:rsid w:val="00CC1E40"/>
    <w:rsid w:val="00CC2559"/>
    <w:rsid w:val="00CC27F5"/>
    <w:rsid w:val="00CC2824"/>
    <w:rsid w:val="00CC2D18"/>
    <w:rsid w:val="00CC2EFE"/>
    <w:rsid w:val="00CC32D9"/>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3EA"/>
    <w:rsid w:val="00CD2585"/>
    <w:rsid w:val="00CD25A6"/>
    <w:rsid w:val="00CD279F"/>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E6"/>
    <w:rsid w:val="00CF073C"/>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BA8"/>
    <w:rsid w:val="00D174E5"/>
    <w:rsid w:val="00D17F37"/>
    <w:rsid w:val="00D20171"/>
    <w:rsid w:val="00D202D3"/>
    <w:rsid w:val="00D20F77"/>
    <w:rsid w:val="00D2109E"/>
    <w:rsid w:val="00D215E6"/>
    <w:rsid w:val="00D2171B"/>
    <w:rsid w:val="00D217CE"/>
    <w:rsid w:val="00D22148"/>
    <w:rsid w:val="00D22AFD"/>
    <w:rsid w:val="00D22D2B"/>
    <w:rsid w:val="00D23556"/>
    <w:rsid w:val="00D2390D"/>
    <w:rsid w:val="00D23B89"/>
    <w:rsid w:val="00D23CE2"/>
    <w:rsid w:val="00D23EAA"/>
    <w:rsid w:val="00D24830"/>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94C"/>
    <w:rsid w:val="00D53768"/>
    <w:rsid w:val="00D537FE"/>
    <w:rsid w:val="00D539F5"/>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5F72"/>
    <w:rsid w:val="00D66022"/>
    <w:rsid w:val="00D66065"/>
    <w:rsid w:val="00D662E2"/>
    <w:rsid w:val="00D66DAA"/>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800A1"/>
    <w:rsid w:val="00D8036A"/>
    <w:rsid w:val="00D80AB8"/>
    <w:rsid w:val="00D80C93"/>
    <w:rsid w:val="00D80CCB"/>
    <w:rsid w:val="00D80FA1"/>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2046"/>
    <w:rsid w:val="00DA23D2"/>
    <w:rsid w:val="00DA29C4"/>
    <w:rsid w:val="00DA2CD7"/>
    <w:rsid w:val="00DA2D90"/>
    <w:rsid w:val="00DA315D"/>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63F"/>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10E"/>
    <w:rsid w:val="00DC522F"/>
    <w:rsid w:val="00DC588E"/>
    <w:rsid w:val="00DC65D8"/>
    <w:rsid w:val="00DC6A94"/>
    <w:rsid w:val="00DC7073"/>
    <w:rsid w:val="00DC765F"/>
    <w:rsid w:val="00DC7722"/>
    <w:rsid w:val="00DC7890"/>
    <w:rsid w:val="00DD02C4"/>
    <w:rsid w:val="00DD039E"/>
    <w:rsid w:val="00DD0C93"/>
    <w:rsid w:val="00DD128A"/>
    <w:rsid w:val="00DD12B1"/>
    <w:rsid w:val="00DD12B5"/>
    <w:rsid w:val="00DD1422"/>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C2D"/>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340"/>
    <w:rsid w:val="00E00450"/>
    <w:rsid w:val="00E004D1"/>
    <w:rsid w:val="00E00A07"/>
    <w:rsid w:val="00E00EFF"/>
    <w:rsid w:val="00E019EA"/>
    <w:rsid w:val="00E025D2"/>
    <w:rsid w:val="00E028E6"/>
    <w:rsid w:val="00E02C20"/>
    <w:rsid w:val="00E032C1"/>
    <w:rsid w:val="00E039C0"/>
    <w:rsid w:val="00E0448E"/>
    <w:rsid w:val="00E046C1"/>
    <w:rsid w:val="00E049EC"/>
    <w:rsid w:val="00E04EE6"/>
    <w:rsid w:val="00E05A43"/>
    <w:rsid w:val="00E05B03"/>
    <w:rsid w:val="00E06AF4"/>
    <w:rsid w:val="00E07686"/>
    <w:rsid w:val="00E07E45"/>
    <w:rsid w:val="00E1007C"/>
    <w:rsid w:val="00E102BD"/>
    <w:rsid w:val="00E1039D"/>
    <w:rsid w:val="00E103F8"/>
    <w:rsid w:val="00E104DE"/>
    <w:rsid w:val="00E1074E"/>
    <w:rsid w:val="00E11EB8"/>
    <w:rsid w:val="00E125EE"/>
    <w:rsid w:val="00E12655"/>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DB"/>
    <w:rsid w:val="00E254AB"/>
    <w:rsid w:val="00E25F49"/>
    <w:rsid w:val="00E2617B"/>
    <w:rsid w:val="00E2690E"/>
    <w:rsid w:val="00E272FE"/>
    <w:rsid w:val="00E30517"/>
    <w:rsid w:val="00E3070A"/>
    <w:rsid w:val="00E30A72"/>
    <w:rsid w:val="00E31371"/>
    <w:rsid w:val="00E31506"/>
    <w:rsid w:val="00E327EE"/>
    <w:rsid w:val="00E32E0E"/>
    <w:rsid w:val="00E3343E"/>
    <w:rsid w:val="00E33802"/>
    <w:rsid w:val="00E33814"/>
    <w:rsid w:val="00E339C6"/>
    <w:rsid w:val="00E33ACA"/>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CCE"/>
    <w:rsid w:val="00E52F76"/>
    <w:rsid w:val="00E5315C"/>
    <w:rsid w:val="00E538E0"/>
    <w:rsid w:val="00E54D33"/>
    <w:rsid w:val="00E5711F"/>
    <w:rsid w:val="00E5765B"/>
    <w:rsid w:val="00E6000E"/>
    <w:rsid w:val="00E602C9"/>
    <w:rsid w:val="00E608B7"/>
    <w:rsid w:val="00E60F80"/>
    <w:rsid w:val="00E61DAC"/>
    <w:rsid w:val="00E624DA"/>
    <w:rsid w:val="00E629F9"/>
    <w:rsid w:val="00E62AF2"/>
    <w:rsid w:val="00E62B35"/>
    <w:rsid w:val="00E630F7"/>
    <w:rsid w:val="00E6412A"/>
    <w:rsid w:val="00E64286"/>
    <w:rsid w:val="00E64763"/>
    <w:rsid w:val="00E65E6B"/>
    <w:rsid w:val="00E6640D"/>
    <w:rsid w:val="00E6682F"/>
    <w:rsid w:val="00E705E5"/>
    <w:rsid w:val="00E70B0C"/>
    <w:rsid w:val="00E712E1"/>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A27"/>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AD"/>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B4A"/>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5DC"/>
    <w:rsid w:val="00EB1705"/>
    <w:rsid w:val="00EB2435"/>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D1E"/>
    <w:rsid w:val="00EC117E"/>
    <w:rsid w:val="00EC183D"/>
    <w:rsid w:val="00EC1D83"/>
    <w:rsid w:val="00EC2E21"/>
    <w:rsid w:val="00EC331F"/>
    <w:rsid w:val="00EC344E"/>
    <w:rsid w:val="00EC36DD"/>
    <w:rsid w:val="00EC4D77"/>
    <w:rsid w:val="00EC4D7B"/>
    <w:rsid w:val="00EC4E2E"/>
    <w:rsid w:val="00EC555C"/>
    <w:rsid w:val="00EC5A0B"/>
    <w:rsid w:val="00EC5A47"/>
    <w:rsid w:val="00EC5F1A"/>
    <w:rsid w:val="00EC6337"/>
    <w:rsid w:val="00EC6D68"/>
    <w:rsid w:val="00EC7183"/>
    <w:rsid w:val="00EC71AB"/>
    <w:rsid w:val="00ED022F"/>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80D"/>
    <w:rsid w:val="00EE5112"/>
    <w:rsid w:val="00EE5280"/>
    <w:rsid w:val="00EE62B4"/>
    <w:rsid w:val="00EE636D"/>
    <w:rsid w:val="00EE66B1"/>
    <w:rsid w:val="00EE7255"/>
    <w:rsid w:val="00EE7D91"/>
    <w:rsid w:val="00EE7ECE"/>
    <w:rsid w:val="00EF0225"/>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1B5"/>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4D49"/>
    <w:rsid w:val="00F15860"/>
    <w:rsid w:val="00F16BB1"/>
    <w:rsid w:val="00F17A8F"/>
    <w:rsid w:val="00F20046"/>
    <w:rsid w:val="00F206FE"/>
    <w:rsid w:val="00F20F5B"/>
    <w:rsid w:val="00F21048"/>
    <w:rsid w:val="00F210AB"/>
    <w:rsid w:val="00F215C3"/>
    <w:rsid w:val="00F21857"/>
    <w:rsid w:val="00F218EF"/>
    <w:rsid w:val="00F21A0B"/>
    <w:rsid w:val="00F22444"/>
    <w:rsid w:val="00F22748"/>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2F1"/>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6CE2"/>
    <w:rsid w:val="00F370CB"/>
    <w:rsid w:val="00F377A2"/>
    <w:rsid w:val="00F37922"/>
    <w:rsid w:val="00F37AEF"/>
    <w:rsid w:val="00F4125D"/>
    <w:rsid w:val="00F42180"/>
    <w:rsid w:val="00F42910"/>
    <w:rsid w:val="00F42C2B"/>
    <w:rsid w:val="00F439C5"/>
    <w:rsid w:val="00F44833"/>
    <w:rsid w:val="00F465C1"/>
    <w:rsid w:val="00F4678D"/>
    <w:rsid w:val="00F467B0"/>
    <w:rsid w:val="00F46E40"/>
    <w:rsid w:val="00F46F8B"/>
    <w:rsid w:val="00F47132"/>
    <w:rsid w:val="00F47728"/>
    <w:rsid w:val="00F47AFE"/>
    <w:rsid w:val="00F47CBA"/>
    <w:rsid w:val="00F47EB7"/>
    <w:rsid w:val="00F50020"/>
    <w:rsid w:val="00F50671"/>
    <w:rsid w:val="00F50849"/>
    <w:rsid w:val="00F513BA"/>
    <w:rsid w:val="00F51447"/>
    <w:rsid w:val="00F514EF"/>
    <w:rsid w:val="00F516F4"/>
    <w:rsid w:val="00F52756"/>
    <w:rsid w:val="00F52A47"/>
    <w:rsid w:val="00F52A4B"/>
    <w:rsid w:val="00F52C6C"/>
    <w:rsid w:val="00F52FA8"/>
    <w:rsid w:val="00F538CD"/>
    <w:rsid w:val="00F5402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856"/>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3F5A"/>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1CBF"/>
    <w:rsid w:val="00FA1D8F"/>
    <w:rsid w:val="00FA2002"/>
    <w:rsid w:val="00FA2526"/>
    <w:rsid w:val="00FA2AB0"/>
    <w:rsid w:val="00FA3C84"/>
    <w:rsid w:val="00FA4B23"/>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9F4"/>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D1A"/>
    <w:rsid w:val="00FE7F00"/>
    <w:rsid w:val="00FF01C5"/>
    <w:rsid w:val="00FF0224"/>
    <w:rsid w:val="00FF0502"/>
    <w:rsid w:val="00FF0BBB"/>
    <w:rsid w:val="00FF1455"/>
    <w:rsid w:val="00FF1716"/>
    <w:rsid w:val="00FF1862"/>
    <w:rsid w:val="00FF2077"/>
    <w:rsid w:val="00FF274A"/>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E6F2F"/>
  <w15:chartTrackingRefBased/>
  <w15:docId w15:val="{0A97F3D9-5D2B-499E-AEF4-2327A36B2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题注 Char"/>
    <w:link w:val="Caption"/>
    <w:rsid w:val="00B65E5E"/>
    <w:rPr>
      <w:rFonts w:ascii="Times New Roman" w:hAnsi="Times New Roman"/>
      <w:b/>
      <w:bCs/>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A4C7F"/>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64406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662896">
      <w:bodyDiv w:val="1"/>
      <w:marLeft w:val="0"/>
      <w:marRight w:val="0"/>
      <w:marTop w:val="0"/>
      <w:marBottom w:val="0"/>
      <w:divBdr>
        <w:top w:val="none" w:sz="0" w:space="0" w:color="auto"/>
        <w:left w:val="none" w:sz="0" w:space="0" w:color="auto"/>
        <w:bottom w:val="none" w:sz="0" w:space="0" w:color="auto"/>
        <w:right w:val="none" w:sz="0" w:space="0" w:color="auto"/>
      </w:divBdr>
    </w:div>
    <w:div w:id="60851080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959332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185742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014706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65FF386-4D35-402B-A24A-FE352767735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52BD98F7-DDB7-408B-9842-26FFAC68600A}">
  <ds:schemaRefs>
    <ds:schemaRef ds:uri="http://schemas.openxmlformats.org/officeDocument/2006/bibliography"/>
  </ds:schemaRefs>
</ds:datastoreItem>
</file>

<file path=customXml/itemProps5.xml><?xml version="1.0" encoding="utf-8"?>
<ds:datastoreItem xmlns:ds="http://schemas.openxmlformats.org/officeDocument/2006/customXml" ds:itemID="{D8349EEE-F0EC-47B1-ADFF-C9911AE00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1804</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WG1 tdoc template</vt:lpstr>
    </vt:vector>
  </TitlesOfParts>
  <Company>Intel</Company>
  <LinksUpToDate>false</LinksUpToDate>
  <CharactersWithSpaces>12063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tdoc template</dc:title>
  <dc:subject/>
  <dc:creator>Intel</dc:creator>
  <cp:keywords/>
  <cp:lastModifiedBy>Chatterjee, Debdeep</cp:lastModifiedBy>
  <cp:revision>2</cp:revision>
  <cp:lastPrinted>2011-11-09T23:49:00Z</cp:lastPrinted>
  <dcterms:created xsi:type="dcterms:W3CDTF">2016-02-06T07:36:00Z</dcterms:created>
  <dcterms:modified xsi:type="dcterms:W3CDTF">2016-02-06T07:36:00Z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